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AC" w:rsidRPr="002A485C" w:rsidRDefault="008913D2" w:rsidP="00B359AC">
      <w:pPr>
        <w:pStyle w:val="NormlnIMP"/>
        <w:spacing w:line="240" w:lineRule="auto"/>
        <w:jc w:val="center"/>
        <w:rPr>
          <w:rFonts w:cs="Arial"/>
          <w:b/>
          <w:sz w:val="48"/>
        </w:rPr>
      </w:pPr>
      <w:r>
        <w:rPr>
          <w:rFonts w:cs="Arial"/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59AC" w:rsidRPr="002A485C">
        <w:rPr>
          <w:rFonts w:cs="Arial"/>
          <w:b/>
          <w:sz w:val="48"/>
        </w:rPr>
        <w:t>ZADÁVACÍ DOKUMENTACE</w:t>
      </w:r>
    </w:p>
    <w:p w:rsidR="00B359AC" w:rsidRDefault="00B359AC" w:rsidP="00B359AC">
      <w:pPr>
        <w:pStyle w:val="NormlnIMP"/>
        <w:spacing w:line="240" w:lineRule="auto"/>
        <w:jc w:val="center"/>
        <w:rPr>
          <w:rFonts w:cs="Arial"/>
          <w:b/>
        </w:rPr>
      </w:pPr>
    </w:p>
    <w:p w:rsidR="002A485C" w:rsidRPr="00ED00BE" w:rsidRDefault="002A485C" w:rsidP="00B359AC">
      <w:pPr>
        <w:pStyle w:val="NormlnIMP"/>
        <w:spacing w:line="240" w:lineRule="auto"/>
        <w:jc w:val="center"/>
        <w:rPr>
          <w:rFonts w:cs="Arial"/>
          <w:b/>
        </w:rPr>
      </w:pPr>
    </w:p>
    <w:p w:rsidR="00B359AC" w:rsidRDefault="00B359AC" w:rsidP="00AF2686">
      <w:pPr>
        <w:pStyle w:val="NormlnIMP"/>
        <w:rPr>
          <w:rFonts w:cs="Arial"/>
        </w:rPr>
      </w:pPr>
      <w:r w:rsidRPr="002A485C">
        <w:rPr>
          <w:rFonts w:cs="Arial"/>
        </w:rPr>
        <w:t xml:space="preserve">Soubor dokumentů, údajů, požadavků a podmínek zadavatele, které vymezují předmět veřejné zakázky na službu v podrobnostech nezbytných pro zpracování nabídky a uzavření smlouvy s vybraným </w:t>
      </w:r>
      <w:r w:rsidR="00B045E4">
        <w:rPr>
          <w:rFonts w:cs="Arial"/>
        </w:rPr>
        <w:t>dodavatelem</w:t>
      </w:r>
    </w:p>
    <w:p w:rsidR="002A485C" w:rsidRPr="004873BE" w:rsidRDefault="002A485C" w:rsidP="002A485C">
      <w:pPr>
        <w:pStyle w:val="NormlnIMP"/>
        <w:spacing w:line="240" w:lineRule="auto"/>
        <w:jc w:val="center"/>
        <w:rPr>
          <w:rFonts w:cs="Arial"/>
        </w:rPr>
      </w:pPr>
    </w:p>
    <w:p w:rsidR="002A485C" w:rsidRPr="004873BE" w:rsidRDefault="002A485C" w:rsidP="002A485C">
      <w:pPr>
        <w:pStyle w:val="NormlnIMP"/>
        <w:spacing w:line="240" w:lineRule="auto"/>
        <w:jc w:val="center"/>
        <w:rPr>
          <w:rFonts w:cs="Arial"/>
        </w:rPr>
      </w:pPr>
    </w:p>
    <w:p w:rsidR="00B359AC" w:rsidRPr="00ED00BE" w:rsidRDefault="00B359AC" w:rsidP="00B359AC">
      <w:pPr>
        <w:pStyle w:val="NormlnIMP"/>
        <w:spacing w:line="240" w:lineRule="auto"/>
        <w:jc w:val="center"/>
        <w:rPr>
          <w:rFonts w:cs="Arial"/>
          <w:b/>
          <w:sz w:val="28"/>
        </w:rPr>
      </w:pPr>
      <w:r w:rsidRPr="00ED00BE">
        <w:rPr>
          <w:rFonts w:cs="Arial"/>
          <w:b/>
          <w:sz w:val="28"/>
        </w:rPr>
        <w:t xml:space="preserve">ZADÁVACÍ ŘÍZENÍ VEŘEJNÉ ZAKÁZKY </w:t>
      </w:r>
    </w:p>
    <w:p w:rsidR="00B359AC" w:rsidRPr="004873BE" w:rsidRDefault="00B359AC" w:rsidP="00B359AC">
      <w:pPr>
        <w:pStyle w:val="NormlnIMP"/>
        <w:spacing w:line="240" w:lineRule="auto"/>
        <w:jc w:val="center"/>
        <w:rPr>
          <w:rFonts w:cs="Arial"/>
          <w:b/>
        </w:rPr>
      </w:pPr>
    </w:p>
    <w:p w:rsidR="00B359AC" w:rsidRPr="00ED00BE" w:rsidRDefault="00B359AC" w:rsidP="00B359AC">
      <w:pPr>
        <w:pStyle w:val="NormlnIMP"/>
        <w:spacing w:line="240" w:lineRule="auto"/>
        <w:jc w:val="center"/>
        <w:rPr>
          <w:rFonts w:cs="Arial"/>
          <w:b/>
          <w:sz w:val="28"/>
        </w:rPr>
      </w:pPr>
      <w:r w:rsidRPr="00ED00BE">
        <w:rPr>
          <w:rFonts w:cs="Arial"/>
          <w:b/>
          <w:sz w:val="28"/>
        </w:rPr>
        <w:t>zadané v</w:t>
      </w:r>
      <w:r w:rsidR="00973105">
        <w:rPr>
          <w:rFonts w:cs="Arial"/>
          <w:b/>
          <w:sz w:val="28"/>
        </w:rPr>
        <w:t> otevřeném řízení v nadlimitním režimu</w:t>
      </w:r>
    </w:p>
    <w:p w:rsidR="00B359AC" w:rsidRDefault="00B359AC" w:rsidP="00B359AC">
      <w:pPr>
        <w:pStyle w:val="NormlnIMP"/>
        <w:spacing w:line="240" w:lineRule="auto"/>
        <w:jc w:val="center"/>
        <w:rPr>
          <w:rFonts w:cs="Arial"/>
          <w:b/>
        </w:rPr>
      </w:pPr>
    </w:p>
    <w:p w:rsidR="004873BE" w:rsidRPr="004873BE" w:rsidRDefault="004873BE" w:rsidP="00B359AC">
      <w:pPr>
        <w:pStyle w:val="NormlnIMP"/>
        <w:spacing w:line="240" w:lineRule="auto"/>
        <w:jc w:val="center"/>
        <w:rPr>
          <w:rFonts w:cs="Arial"/>
          <w:b/>
        </w:rPr>
      </w:pPr>
    </w:p>
    <w:p w:rsidR="00B359AC" w:rsidRDefault="003D32D3" w:rsidP="003D32D3">
      <w:pPr>
        <w:pStyle w:val="NormlnIMP"/>
        <w:tabs>
          <w:tab w:val="left" w:pos="3760"/>
          <w:tab w:val="center" w:pos="4536"/>
        </w:tabs>
        <w:spacing w:line="240" w:lineRule="auto"/>
        <w:jc w:val="lef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973105">
        <w:rPr>
          <w:rFonts w:cs="Arial"/>
        </w:rPr>
        <w:t>nazvané</w:t>
      </w:r>
      <w:r w:rsidR="00B359AC" w:rsidRPr="002A485C">
        <w:rPr>
          <w:rFonts w:cs="Arial"/>
        </w:rPr>
        <w:t>:</w:t>
      </w:r>
    </w:p>
    <w:p w:rsidR="002A485C" w:rsidRDefault="002A485C" w:rsidP="00B359AC">
      <w:pPr>
        <w:pStyle w:val="NormlnIMP"/>
        <w:spacing w:line="240" w:lineRule="auto"/>
        <w:jc w:val="center"/>
        <w:rPr>
          <w:rFonts w:cs="Arial"/>
        </w:rPr>
      </w:pPr>
    </w:p>
    <w:p w:rsidR="002A485C" w:rsidRPr="002A485C" w:rsidRDefault="002A485C" w:rsidP="00B359AC">
      <w:pPr>
        <w:pStyle w:val="NormlnIMP"/>
        <w:spacing w:line="240" w:lineRule="auto"/>
        <w:jc w:val="center"/>
        <w:rPr>
          <w:rFonts w:cs="Arial"/>
        </w:rPr>
      </w:pPr>
    </w:p>
    <w:p w:rsidR="00B359AC" w:rsidRPr="002A485C" w:rsidRDefault="00B359AC" w:rsidP="004873BE">
      <w:pPr>
        <w:pStyle w:val="NormlnIMP"/>
        <w:spacing w:line="240" w:lineRule="auto"/>
        <w:jc w:val="center"/>
        <w:rPr>
          <w:rFonts w:cs="Arial"/>
          <w:b/>
          <w:sz w:val="36"/>
        </w:rPr>
      </w:pPr>
      <w:r w:rsidRPr="002A485C">
        <w:rPr>
          <w:rFonts w:cs="Arial"/>
          <w:b/>
          <w:sz w:val="36"/>
        </w:rPr>
        <w:t>„Odvoz a likvidace komunálního odpadu z překládací stanice a sběrného dvora ve Dvoře Králové n. L.“</w:t>
      </w:r>
    </w:p>
    <w:p w:rsidR="00B359AC" w:rsidRDefault="00B359AC" w:rsidP="00B359AC">
      <w:pPr>
        <w:pStyle w:val="NormlnIMP"/>
        <w:spacing w:line="240" w:lineRule="auto"/>
        <w:jc w:val="center"/>
        <w:rPr>
          <w:rFonts w:cs="Arial"/>
          <w:b/>
          <w:color w:val="0000FF"/>
          <w:u w:val="single"/>
        </w:rPr>
      </w:pPr>
      <w:r w:rsidRPr="002A485C">
        <w:rPr>
          <w:rFonts w:cs="Arial"/>
          <w:b/>
          <w:color w:val="0000FF"/>
          <w:u w:val="single"/>
        </w:rPr>
        <w:t xml:space="preserve"> </w:t>
      </w:r>
    </w:p>
    <w:p w:rsidR="002A485C" w:rsidRPr="002A485C" w:rsidRDefault="002A485C" w:rsidP="00B359AC">
      <w:pPr>
        <w:pStyle w:val="NormlnIMP"/>
        <w:spacing w:line="240" w:lineRule="auto"/>
        <w:jc w:val="center"/>
        <w:rPr>
          <w:rFonts w:cs="Arial"/>
          <w:b/>
          <w:color w:val="0000FF"/>
          <w:u w:val="single"/>
        </w:rPr>
      </w:pPr>
    </w:p>
    <w:p w:rsidR="00B359AC" w:rsidRDefault="00B359AC" w:rsidP="00AF2686">
      <w:pPr>
        <w:pStyle w:val="NormlnIMP"/>
        <w:jc w:val="center"/>
        <w:rPr>
          <w:rFonts w:cs="Arial"/>
          <w:b/>
          <w:bCs/>
        </w:rPr>
      </w:pPr>
      <w:r w:rsidRPr="00ED00BE">
        <w:rPr>
          <w:rFonts w:cs="Arial"/>
          <w:b/>
          <w:bCs/>
        </w:rPr>
        <w:t>dle zákona č. 13</w:t>
      </w:r>
      <w:r w:rsidR="00150F09">
        <w:rPr>
          <w:rFonts w:cs="Arial"/>
          <w:b/>
          <w:bCs/>
        </w:rPr>
        <w:t>4</w:t>
      </w:r>
      <w:r w:rsidRPr="00ED00BE">
        <w:rPr>
          <w:rFonts w:cs="Arial"/>
          <w:b/>
          <w:bCs/>
        </w:rPr>
        <w:t>/20</w:t>
      </w:r>
      <w:r w:rsidR="00150F09">
        <w:rPr>
          <w:rFonts w:cs="Arial"/>
          <w:b/>
          <w:bCs/>
        </w:rPr>
        <w:t>1</w:t>
      </w:r>
      <w:r w:rsidRPr="00ED00BE">
        <w:rPr>
          <w:rFonts w:cs="Arial"/>
          <w:b/>
          <w:bCs/>
        </w:rPr>
        <w:t xml:space="preserve">6  Sb., o </w:t>
      </w:r>
      <w:r w:rsidR="00973105">
        <w:rPr>
          <w:rFonts w:cs="Arial"/>
          <w:b/>
          <w:bCs/>
        </w:rPr>
        <w:t>zadávání veřejných zakázek, ve znění pozdějších předpisů</w:t>
      </w:r>
      <w:r w:rsidRPr="00ED00BE">
        <w:rPr>
          <w:rFonts w:cs="Arial"/>
          <w:b/>
          <w:bCs/>
        </w:rPr>
        <w:t xml:space="preserve"> </w:t>
      </w:r>
    </w:p>
    <w:p w:rsidR="00B359AC" w:rsidRPr="00ED00BE" w:rsidRDefault="00B359AC" w:rsidP="00AF2686">
      <w:pPr>
        <w:pStyle w:val="NormlnIMP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(dále </w:t>
      </w:r>
      <w:r w:rsidR="00973105">
        <w:rPr>
          <w:rFonts w:cs="Arial"/>
          <w:b/>
          <w:bCs/>
        </w:rPr>
        <w:t>také jako „</w:t>
      </w:r>
      <w:r>
        <w:rPr>
          <w:rFonts w:cs="Arial"/>
          <w:b/>
          <w:bCs/>
        </w:rPr>
        <w:t>zákon č. 13</w:t>
      </w:r>
      <w:r w:rsidR="00150F09">
        <w:rPr>
          <w:rFonts w:cs="Arial"/>
          <w:b/>
          <w:bCs/>
        </w:rPr>
        <w:t>4</w:t>
      </w:r>
      <w:r>
        <w:rPr>
          <w:rFonts w:cs="Arial"/>
          <w:b/>
          <w:bCs/>
        </w:rPr>
        <w:t>/20</w:t>
      </w:r>
      <w:r w:rsidR="00150F09">
        <w:rPr>
          <w:rFonts w:cs="Arial"/>
          <w:b/>
          <w:bCs/>
        </w:rPr>
        <w:t>1</w:t>
      </w:r>
      <w:r>
        <w:rPr>
          <w:rFonts w:cs="Arial"/>
          <w:b/>
          <w:bCs/>
        </w:rPr>
        <w:t>6 Sb.</w:t>
      </w:r>
      <w:r w:rsidR="00973105">
        <w:rPr>
          <w:rFonts w:cs="Arial"/>
          <w:b/>
          <w:bCs/>
        </w:rPr>
        <w:t>“</w:t>
      </w:r>
      <w:r>
        <w:rPr>
          <w:rFonts w:cs="Arial"/>
          <w:b/>
          <w:bCs/>
        </w:rPr>
        <w:t>)</w:t>
      </w:r>
    </w:p>
    <w:p w:rsidR="00B359AC" w:rsidRPr="004873BE" w:rsidRDefault="00B359AC" w:rsidP="00B359AC">
      <w:pPr>
        <w:pStyle w:val="NormlnIMP"/>
        <w:spacing w:line="240" w:lineRule="auto"/>
        <w:rPr>
          <w:rFonts w:cs="Arial"/>
          <w:b/>
          <w:color w:val="0000FF"/>
          <w:sz w:val="28"/>
        </w:rPr>
      </w:pPr>
    </w:p>
    <w:p w:rsidR="00B359AC" w:rsidRPr="004873BE" w:rsidRDefault="00B359AC" w:rsidP="004873BE">
      <w:pPr>
        <w:pStyle w:val="NormlnIMP"/>
        <w:spacing w:line="240" w:lineRule="auto"/>
        <w:rPr>
          <w:rFonts w:cs="Arial"/>
          <w:b/>
          <w:color w:val="0000FF"/>
          <w:sz w:val="28"/>
        </w:rPr>
      </w:pPr>
    </w:p>
    <w:p w:rsidR="00B359AC" w:rsidRPr="004873BE" w:rsidRDefault="00B359AC" w:rsidP="00B359AC">
      <w:pPr>
        <w:pStyle w:val="NormlnIMP"/>
        <w:spacing w:line="240" w:lineRule="auto"/>
        <w:rPr>
          <w:rFonts w:cs="Arial"/>
          <w:b/>
          <w:sz w:val="28"/>
        </w:rPr>
      </w:pPr>
    </w:p>
    <w:p w:rsidR="00B359AC" w:rsidRPr="004873BE" w:rsidRDefault="00B359AC" w:rsidP="00B359AC">
      <w:pPr>
        <w:pStyle w:val="NormlnIMP"/>
        <w:spacing w:line="240" w:lineRule="auto"/>
        <w:rPr>
          <w:rFonts w:cs="Arial"/>
          <w:b/>
          <w:sz w:val="28"/>
        </w:rPr>
      </w:pPr>
    </w:p>
    <w:p w:rsidR="00B359AC" w:rsidRPr="004873BE" w:rsidRDefault="00B359AC" w:rsidP="00B359AC">
      <w:pPr>
        <w:pStyle w:val="NormlnIMP"/>
        <w:spacing w:line="240" w:lineRule="auto"/>
        <w:rPr>
          <w:rFonts w:cs="Arial"/>
          <w:b/>
          <w:sz w:val="28"/>
        </w:rPr>
      </w:pPr>
    </w:p>
    <w:p w:rsidR="00B359AC" w:rsidRPr="004873BE" w:rsidRDefault="00B359AC" w:rsidP="00B359AC">
      <w:pPr>
        <w:pStyle w:val="NormlnIMP"/>
        <w:spacing w:line="240" w:lineRule="auto"/>
        <w:rPr>
          <w:rFonts w:cs="Arial"/>
          <w:b/>
          <w:sz w:val="28"/>
        </w:rPr>
      </w:pPr>
    </w:p>
    <w:p w:rsidR="00B359AC" w:rsidRPr="00ED00BE" w:rsidRDefault="00B359AC" w:rsidP="00B359AC">
      <w:pPr>
        <w:pStyle w:val="NormlnIMP"/>
        <w:spacing w:line="240" w:lineRule="auto"/>
        <w:rPr>
          <w:rFonts w:cs="Arial"/>
          <w:b/>
          <w:u w:val="single"/>
        </w:rPr>
      </w:pPr>
    </w:p>
    <w:p w:rsidR="00B359AC" w:rsidRPr="004873BE" w:rsidRDefault="00B359AC" w:rsidP="004873BE">
      <w:pPr>
        <w:pStyle w:val="NormlnIMP"/>
        <w:spacing w:line="240" w:lineRule="auto"/>
        <w:ind w:right="39"/>
        <w:rPr>
          <w:rFonts w:cs="Arial"/>
          <w:color w:val="0000FF"/>
          <w:szCs w:val="22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134"/>
        <w:gridCol w:w="2268"/>
        <w:gridCol w:w="992"/>
        <w:gridCol w:w="1751"/>
      </w:tblGrid>
      <w:tr w:rsidR="005005AC" w:rsidRPr="00A63FA6" w:rsidTr="00DD221E">
        <w:trPr>
          <w:trHeight w:val="51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873BE" w:rsidRPr="00A63FA6" w:rsidRDefault="004873BE" w:rsidP="004873BE">
            <w:pPr>
              <w:pStyle w:val="ZkladntextIMP1"/>
              <w:rPr>
                <w:rFonts w:ascii="Arial" w:hAnsi="Arial" w:cs="Arial"/>
                <w:color w:val="000000"/>
                <w:szCs w:val="22"/>
              </w:rPr>
            </w:pPr>
            <w:r w:rsidRPr="00A63FA6">
              <w:rPr>
                <w:rFonts w:ascii="Arial" w:hAnsi="Arial" w:cs="Arial"/>
                <w:color w:val="000000"/>
                <w:szCs w:val="22"/>
              </w:rPr>
              <w:t>Zpracovala: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73BE" w:rsidRPr="00A63FA6" w:rsidRDefault="004873BE" w:rsidP="004873BE">
            <w:pPr>
              <w:pStyle w:val="ZkladntextIMP1"/>
              <w:rPr>
                <w:rFonts w:ascii="Arial" w:hAnsi="Arial" w:cs="Arial"/>
                <w:color w:val="000000"/>
                <w:szCs w:val="22"/>
              </w:rPr>
            </w:pPr>
            <w:r w:rsidRPr="00A63FA6">
              <w:rPr>
                <w:rFonts w:ascii="Arial" w:hAnsi="Arial" w:cs="Arial"/>
                <w:color w:val="000000"/>
                <w:szCs w:val="22"/>
              </w:rPr>
              <w:t>Ing. Eva Šírková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3BE" w:rsidRPr="00A63FA6" w:rsidRDefault="004873BE" w:rsidP="004873BE">
            <w:pPr>
              <w:pStyle w:val="ZkladntextIMP1"/>
              <w:rPr>
                <w:rFonts w:ascii="Arial" w:hAnsi="Arial" w:cs="Arial"/>
                <w:color w:val="000000"/>
                <w:szCs w:val="22"/>
              </w:rPr>
            </w:pPr>
            <w:r w:rsidRPr="00A63FA6">
              <w:rPr>
                <w:rFonts w:ascii="Arial" w:hAnsi="Arial" w:cs="Arial"/>
                <w:color w:val="000000"/>
                <w:szCs w:val="22"/>
              </w:rPr>
              <w:t>Podpis: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73BE" w:rsidRPr="00A63FA6" w:rsidRDefault="004873BE" w:rsidP="004873BE">
            <w:pPr>
              <w:pStyle w:val="ZkladntextIMP1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73BE" w:rsidRPr="00A63FA6" w:rsidRDefault="004873BE" w:rsidP="004873BE">
            <w:pPr>
              <w:pStyle w:val="ZkladntextIMP1"/>
              <w:rPr>
                <w:rFonts w:ascii="Arial" w:hAnsi="Arial" w:cs="Arial"/>
                <w:color w:val="000000"/>
                <w:szCs w:val="22"/>
              </w:rPr>
            </w:pPr>
            <w:r w:rsidRPr="00A63FA6">
              <w:rPr>
                <w:rFonts w:ascii="Arial" w:hAnsi="Arial" w:cs="Arial"/>
                <w:color w:val="000000"/>
                <w:szCs w:val="22"/>
              </w:rPr>
              <w:t>Datum: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4873BE" w:rsidRPr="00A63FA6" w:rsidRDefault="00DD221E" w:rsidP="00DD221E">
            <w:pPr>
              <w:pStyle w:val="ZkladntextIMP1"/>
              <w:jc w:val="center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Cs w:val="22"/>
              </w:rPr>
              <w:t>16</w:t>
            </w:r>
            <w:r w:rsidR="00150F09">
              <w:rPr>
                <w:rFonts w:ascii="Arial" w:hAnsi="Arial" w:cs="Arial"/>
                <w:color w:val="000000"/>
                <w:szCs w:val="22"/>
              </w:rPr>
              <w:t>.09.2018</w:t>
            </w:r>
            <w:proofErr w:type="gramEnd"/>
          </w:p>
        </w:tc>
      </w:tr>
      <w:tr w:rsidR="00DD221E" w:rsidRPr="00A63FA6" w:rsidTr="00DD221E">
        <w:trPr>
          <w:trHeight w:val="51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D221E" w:rsidRPr="00A63FA6" w:rsidRDefault="00DD221E" w:rsidP="004873BE">
            <w:pPr>
              <w:pStyle w:val="ZkladntextIMP1"/>
              <w:rPr>
                <w:rFonts w:ascii="Arial" w:hAnsi="Arial" w:cs="Arial"/>
                <w:color w:val="000000"/>
                <w:szCs w:val="22"/>
              </w:rPr>
            </w:pPr>
            <w:r w:rsidRPr="00A63FA6">
              <w:rPr>
                <w:rFonts w:ascii="Arial" w:hAnsi="Arial" w:cs="Arial"/>
                <w:color w:val="000000"/>
                <w:szCs w:val="22"/>
              </w:rPr>
              <w:t>Zkontroloval: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21E" w:rsidRDefault="00DD221E" w:rsidP="00DD221E">
            <w:pPr>
              <w:pStyle w:val="ZkladntextIMP1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Bc. Milan Šimek, </w:t>
            </w: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DiS</w:t>
            </w:r>
            <w:proofErr w:type="spellEnd"/>
            <w:r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21E" w:rsidRPr="00A63FA6" w:rsidRDefault="00DD221E" w:rsidP="004873BE">
            <w:pPr>
              <w:pStyle w:val="ZkladntextIMP1"/>
              <w:rPr>
                <w:rFonts w:ascii="Arial" w:hAnsi="Arial" w:cs="Arial"/>
                <w:color w:val="000000"/>
                <w:szCs w:val="22"/>
              </w:rPr>
            </w:pPr>
            <w:r w:rsidRPr="00A63FA6">
              <w:rPr>
                <w:rFonts w:ascii="Arial" w:hAnsi="Arial" w:cs="Arial"/>
                <w:color w:val="000000"/>
                <w:szCs w:val="22"/>
              </w:rPr>
              <w:t>Podpis: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21E" w:rsidRPr="00A63FA6" w:rsidRDefault="00DD221E" w:rsidP="004873BE">
            <w:pPr>
              <w:pStyle w:val="ZkladntextIMP1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221E" w:rsidRPr="00A63FA6" w:rsidRDefault="00DD221E" w:rsidP="004873BE">
            <w:pPr>
              <w:pStyle w:val="ZkladntextIMP1"/>
              <w:rPr>
                <w:rFonts w:ascii="Arial" w:hAnsi="Arial" w:cs="Arial"/>
                <w:color w:val="000000"/>
                <w:szCs w:val="22"/>
              </w:rPr>
            </w:pPr>
            <w:r w:rsidRPr="00A63FA6">
              <w:rPr>
                <w:rFonts w:ascii="Arial" w:hAnsi="Arial" w:cs="Arial"/>
                <w:color w:val="000000"/>
                <w:szCs w:val="22"/>
              </w:rPr>
              <w:t>Datum: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D221E" w:rsidRDefault="00DD221E" w:rsidP="00DD221E">
            <w:pPr>
              <w:pStyle w:val="ZkladntextIMP1"/>
              <w:jc w:val="center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Cs w:val="22"/>
              </w:rPr>
              <w:t>18.09.2018</w:t>
            </w:r>
            <w:proofErr w:type="gramEnd"/>
          </w:p>
        </w:tc>
      </w:tr>
    </w:tbl>
    <w:p w:rsidR="00B359AC" w:rsidRDefault="00B359AC" w:rsidP="004873BE">
      <w:pPr>
        <w:pStyle w:val="ZkladntextIMP1"/>
        <w:rPr>
          <w:rFonts w:ascii="Arial" w:hAnsi="Arial" w:cs="Arial"/>
          <w:color w:val="000000"/>
          <w:szCs w:val="22"/>
        </w:rPr>
      </w:pPr>
    </w:p>
    <w:p w:rsidR="004873BE" w:rsidRDefault="00B359AC" w:rsidP="00AF2686">
      <w:pPr>
        <w:pStyle w:val="NormlnIMP"/>
        <w:rPr>
          <w:rFonts w:cs="Arial"/>
          <w:b/>
          <w:sz w:val="36"/>
        </w:rPr>
      </w:pPr>
      <w:r w:rsidRPr="004873BE">
        <w:rPr>
          <w:rFonts w:cs="Arial"/>
          <w:color w:val="000000"/>
          <w:szCs w:val="22"/>
        </w:rPr>
        <w:t xml:space="preserve">Dokument (formulář) „Oznámení o zakázce“ a </w:t>
      </w:r>
      <w:r w:rsidRPr="004873BE">
        <w:rPr>
          <w:rFonts w:cs="Arial"/>
          <w:bCs/>
          <w:color w:val="000000"/>
          <w:szCs w:val="22"/>
        </w:rPr>
        <w:t xml:space="preserve">„Zadávací dokumentace“ na veřejnou zakázku </w:t>
      </w:r>
      <w:r w:rsidRPr="004873BE">
        <w:rPr>
          <w:rFonts w:cs="Arial"/>
          <w:szCs w:val="22"/>
        </w:rPr>
        <w:t>„Odvoz a likvidace komunálního odpadu z překládací stanice a sběrného dvora ve Dvoře Králové n. L.“ byly odsouhlaseny a schváleny usnesením RM č.</w:t>
      </w:r>
      <w:r w:rsidR="00E93A5C">
        <w:t xml:space="preserve"> R/</w:t>
      </w:r>
      <w:r w:rsidR="002A3E3D">
        <w:t>582</w:t>
      </w:r>
      <w:r w:rsidR="00E93A5C">
        <w:t>/201</w:t>
      </w:r>
      <w:r w:rsidR="00331200">
        <w:t>8</w:t>
      </w:r>
      <w:r w:rsidR="002128B6">
        <w:t xml:space="preserve"> – </w:t>
      </w:r>
      <w:r w:rsidR="002A3E3D">
        <w:t>144</w:t>
      </w:r>
      <w:r w:rsidR="002128B6">
        <w:t xml:space="preserve">. </w:t>
      </w:r>
      <w:r w:rsidR="002128B6">
        <w:rPr>
          <w:sz w:val="22"/>
          <w:szCs w:val="22"/>
        </w:rPr>
        <w:t>Rada města Dvůr Králové nad Labem</w:t>
      </w:r>
      <w:r w:rsidR="002128B6">
        <w:t xml:space="preserve"> ze dne </w:t>
      </w:r>
      <w:proofErr w:type="gramStart"/>
      <w:r w:rsidR="002A3E3D">
        <w:t>25.09.</w:t>
      </w:r>
      <w:r w:rsidR="00331200">
        <w:t>2018</w:t>
      </w:r>
      <w:proofErr w:type="gramEnd"/>
      <w:r w:rsidR="002128B6">
        <w:t>.</w:t>
      </w:r>
    </w:p>
    <w:p w:rsidR="001772AC" w:rsidRDefault="001772AC" w:rsidP="00726941">
      <w:pPr>
        <w:pStyle w:val="Nadpisobsahu"/>
      </w:pPr>
    </w:p>
    <w:p w:rsidR="001772AC" w:rsidRDefault="001772AC" w:rsidP="00726941">
      <w:pPr>
        <w:pStyle w:val="Nadpisobsahu"/>
      </w:pPr>
    </w:p>
    <w:p w:rsidR="005005AC" w:rsidRPr="00AB6CA5" w:rsidRDefault="005005AC" w:rsidP="00726941">
      <w:pPr>
        <w:pStyle w:val="Nadpisobsahu"/>
        <w:rPr>
          <w:rFonts w:ascii="Arial" w:hAnsi="Arial" w:cs="Arial"/>
        </w:rPr>
      </w:pPr>
      <w:r w:rsidRPr="00AB6CA5">
        <w:rPr>
          <w:rFonts w:ascii="Arial" w:hAnsi="Arial" w:cs="Arial"/>
          <w:color w:val="auto"/>
        </w:rPr>
        <w:t>Obsah</w:t>
      </w:r>
    </w:p>
    <w:p w:rsidR="005005AC" w:rsidRPr="005005AC" w:rsidRDefault="005005AC" w:rsidP="005005AC"/>
    <w:p w:rsidR="00BF44C5" w:rsidRDefault="005005A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C2ADF">
        <w:rPr>
          <w:rFonts w:cs="Arial"/>
          <w:sz w:val="24"/>
        </w:rPr>
        <w:fldChar w:fldCharType="begin"/>
      </w:r>
      <w:r w:rsidRPr="004C2ADF">
        <w:rPr>
          <w:rFonts w:cs="Arial"/>
          <w:sz w:val="24"/>
        </w:rPr>
        <w:instrText xml:space="preserve"> TOC \o "1-3" \h \z \u </w:instrText>
      </w:r>
      <w:r w:rsidRPr="004C2ADF">
        <w:rPr>
          <w:rFonts w:cs="Arial"/>
          <w:sz w:val="24"/>
        </w:rPr>
        <w:fldChar w:fldCharType="separate"/>
      </w:r>
      <w:hyperlink w:anchor="_Toc525067485" w:history="1">
        <w:r w:rsidR="00BF44C5" w:rsidRPr="00FC150F">
          <w:rPr>
            <w:rStyle w:val="Hypertextovodkaz"/>
            <w:noProof/>
          </w:rPr>
          <w:t>1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Základní údaje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_Toc525067485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3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486" w:history="1">
        <w:r w:rsidR="00BF44C5" w:rsidRPr="00FC150F">
          <w:rPr>
            <w:rStyle w:val="Hypertextovodkaz"/>
            <w:noProof/>
          </w:rPr>
          <w:t>2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Identifikační údaje zadavatele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_Toc525067486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3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487" w:history="1">
        <w:r w:rsidR="00BF44C5" w:rsidRPr="00FC150F">
          <w:rPr>
            <w:rStyle w:val="Hypertextovodkaz"/>
            <w:noProof/>
          </w:rPr>
          <w:t>3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Předmět veřejné zakázky a předpokládaná hodnota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_Toc525067487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4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488" w:history="1">
        <w:r w:rsidR="00BF44C5" w:rsidRPr="00FC150F">
          <w:rPr>
            <w:rStyle w:val="Hypertextovodkaz"/>
            <w:noProof/>
          </w:rPr>
          <w:t>4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Variantní nabídky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_Toc525067488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4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489" w:history="1">
        <w:r w:rsidR="00BF44C5" w:rsidRPr="00FC150F">
          <w:rPr>
            <w:rStyle w:val="Hypertextovodkaz"/>
            <w:noProof/>
          </w:rPr>
          <w:t>5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Termín plnění zakázky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_Toc525067489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4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490" w:history="1">
        <w:r w:rsidR="00BF44C5" w:rsidRPr="00FC150F">
          <w:rPr>
            <w:rStyle w:val="Hypertextovodkaz"/>
            <w:noProof/>
          </w:rPr>
          <w:t>6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Obchodní a platební podmínky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_Toc525067490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4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2"/>
        <w:tabs>
          <w:tab w:val="left" w:pos="880"/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491" w:history="1">
        <w:r w:rsidR="00BF44C5" w:rsidRPr="00FC150F">
          <w:rPr>
            <w:rStyle w:val="Hypertextovodkaz"/>
            <w:noProof/>
          </w:rPr>
          <w:t>6.1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Možné úpravy obchodních podmínek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_Toc525067491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4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2"/>
        <w:tabs>
          <w:tab w:val="left" w:pos="880"/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492" w:history="1">
        <w:r w:rsidR="00BF44C5" w:rsidRPr="00FC150F">
          <w:rPr>
            <w:rStyle w:val="Hypertextovodkaz"/>
            <w:noProof/>
          </w:rPr>
          <w:t>6.2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Závaznost obchodních podmínek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_Toc525067492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5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2"/>
        <w:tabs>
          <w:tab w:val="left" w:pos="880"/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493" w:history="1">
        <w:r w:rsidR="00BF44C5" w:rsidRPr="00FC150F">
          <w:rPr>
            <w:rStyle w:val="Hypertextovodkaz"/>
            <w:noProof/>
          </w:rPr>
          <w:t>6.3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Vyjasnění obsahu obchodních podmínek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_Toc525067493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5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2"/>
        <w:tabs>
          <w:tab w:val="left" w:pos="880"/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494" w:history="1">
        <w:r w:rsidR="00BF44C5" w:rsidRPr="00FC150F">
          <w:rPr>
            <w:rStyle w:val="Hypertextovodkaz"/>
            <w:noProof/>
          </w:rPr>
          <w:t>6.4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Platební podmínky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_Toc525067494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5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2"/>
        <w:tabs>
          <w:tab w:val="left" w:pos="880"/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495" w:history="1">
        <w:r w:rsidR="00BF44C5" w:rsidRPr="00FC150F">
          <w:rPr>
            <w:rStyle w:val="Hypertextovodkaz"/>
            <w:noProof/>
          </w:rPr>
          <w:t>6.5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Podmínky, za nichž je možno překročit nabídkovou cenu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_Toc525067495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5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496" w:history="1">
        <w:r w:rsidR="00BF44C5" w:rsidRPr="00FC150F">
          <w:rPr>
            <w:rStyle w:val="Hypertextovodkaz"/>
            <w:noProof/>
          </w:rPr>
          <w:t>7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Technické podmínky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_Toc525067496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5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497" w:history="1">
        <w:r w:rsidR="00BF44C5" w:rsidRPr="00FC150F">
          <w:rPr>
            <w:rStyle w:val="Hypertextovodkaz"/>
            <w:noProof/>
          </w:rPr>
          <w:t>8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Požadavky na jednotný způsob zpracování nabídkové ceny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_Toc525067497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6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498" w:history="1">
        <w:r w:rsidR="00BF44C5" w:rsidRPr="00FC150F">
          <w:rPr>
            <w:rStyle w:val="Hypertextovodkaz"/>
            <w:noProof/>
          </w:rPr>
          <w:t>9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Podmínky a požadavky na zpracování nabídky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_Toc525067498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7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499" w:history="1">
        <w:r w:rsidR="00BF44C5" w:rsidRPr="00FC150F">
          <w:rPr>
            <w:rStyle w:val="Hypertextovodkaz"/>
            <w:noProof/>
          </w:rPr>
          <w:t>Elektronický nástroj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_Toc525067499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7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500" w:history="1">
        <w:r w:rsidR="00BF44C5" w:rsidRPr="00FC150F">
          <w:rPr>
            <w:rStyle w:val="Hypertextovodkaz"/>
            <w:noProof/>
          </w:rPr>
          <w:t>10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Způsob hodnocení nabídek podle hodnotících kritérií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_Toc525067500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8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501" w:history="1">
        <w:r w:rsidR="00BF44C5" w:rsidRPr="00FC150F">
          <w:rPr>
            <w:rStyle w:val="Hypertextovodkaz"/>
            <w:noProof/>
          </w:rPr>
          <w:t>11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Požadavek zadavatele, aby dodavatel ve své nabídce uvedl, jakou část veřejné zakázky má v úmyslu zadat jiným osobám (subdodávky)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_Toc525067501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10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502" w:history="1">
        <w:r w:rsidR="00BF44C5" w:rsidRPr="00FC150F">
          <w:rPr>
            <w:rStyle w:val="Hypertextovodkaz"/>
            <w:noProof/>
          </w:rPr>
          <w:t>12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Podmínky kvalifikace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_Toc525067502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10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2"/>
        <w:tabs>
          <w:tab w:val="left" w:pos="880"/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503" w:history="1">
        <w:r w:rsidR="00BF44C5" w:rsidRPr="00FC150F">
          <w:rPr>
            <w:rStyle w:val="Hypertextovodkaz"/>
            <w:noProof/>
          </w:rPr>
          <w:t>12.1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Základní způsobilost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_Toc525067503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10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2"/>
        <w:tabs>
          <w:tab w:val="left" w:pos="880"/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504" w:history="1">
        <w:r w:rsidR="00BF44C5" w:rsidRPr="00FC150F">
          <w:rPr>
            <w:rStyle w:val="Hypertextovodkaz"/>
            <w:noProof/>
          </w:rPr>
          <w:t>12.2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Profesní způsobilost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_Toc525067504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10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2"/>
        <w:tabs>
          <w:tab w:val="left" w:pos="880"/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505" w:history="1">
        <w:r w:rsidR="00BF44C5" w:rsidRPr="00FC150F">
          <w:rPr>
            <w:rStyle w:val="Hypertextovodkaz"/>
            <w:noProof/>
          </w:rPr>
          <w:t>12.3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Technická kvalifikace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_Toc525067505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10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506" w:history="1">
        <w:r w:rsidR="00BF44C5" w:rsidRPr="00FC150F">
          <w:rPr>
            <w:rStyle w:val="Hypertextovodkaz"/>
            <w:noProof/>
          </w:rPr>
          <w:t>13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Lhůta, po kterou jsou dodavatele svými nabídkami vázáni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_Toc525067506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11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507" w:history="1">
        <w:r w:rsidR="00BF44C5" w:rsidRPr="00FC150F">
          <w:rPr>
            <w:rStyle w:val="Hypertextovodkaz"/>
            <w:noProof/>
          </w:rPr>
          <w:t>14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Lhůty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_Toc525067507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11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508" w:history="1">
        <w:r w:rsidR="00BF44C5" w:rsidRPr="00FC150F">
          <w:rPr>
            <w:rStyle w:val="Hypertextovodkaz"/>
            <w:noProof/>
          </w:rPr>
          <w:t>15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Jistota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_Toc525067508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11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509" w:history="1">
        <w:r w:rsidR="00BF44C5" w:rsidRPr="00FC150F">
          <w:rPr>
            <w:rStyle w:val="Hypertextovodkaz"/>
            <w:noProof/>
          </w:rPr>
          <w:t>16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Přístup k zadávací dokumentaci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_Toc525067509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11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510" w:history="1">
        <w:r w:rsidR="00BF44C5" w:rsidRPr="00FC150F">
          <w:rPr>
            <w:rStyle w:val="Hypertextovodkaz"/>
            <w:noProof/>
          </w:rPr>
          <w:t>17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Vysvětlení, doplnění a změny zadávací dokumentace (dodatečné informace) a prohlídka místa plnění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_Toc525067510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11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511" w:history="1">
        <w:r w:rsidR="00BF44C5" w:rsidRPr="00FC150F">
          <w:rPr>
            <w:rStyle w:val="Hypertextovodkaz"/>
            <w:noProof/>
          </w:rPr>
          <w:t>18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Podávání nabídek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_Toc525067511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12</w:t>
        </w:r>
        <w:r w:rsidR="00BF44C5">
          <w:rPr>
            <w:noProof/>
            <w:webHidden/>
          </w:rPr>
          <w:fldChar w:fldCharType="end"/>
        </w:r>
      </w:hyperlink>
    </w:p>
    <w:p w:rsidR="00BF44C5" w:rsidRDefault="002766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067512" w:history="1">
        <w:r w:rsidR="00BF44C5" w:rsidRPr="00FC150F">
          <w:rPr>
            <w:rStyle w:val="Hypertextovodkaz"/>
            <w:noProof/>
          </w:rPr>
          <w:t>19</w:t>
        </w:r>
        <w:r w:rsidR="00BF44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F44C5" w:rsidRPr="00FC150F">
          <w:rPr>
            <w:rStyle w:val="Hypertextovodkaz"/>
            <w:noProof/>
          </w:rPr>
          <w:t>Další doplňující informace a pokyny pro zpracování nabídky</w:t>
        </w:r>
        <w:r w:rsidR="00BF44C5">
          <w:rPr>
            <w:noProof/>
            <w:webHidden/>
          </w:rPr>
          <w:tab/>
        </w:r>
        <w:r w:rsidR="00BF44C5">
          <w:rPr>
            <w:noProof/>
            <w:webHidden/>
          </w:rPr>
          <w:fldChar w:fldCharType="begin"/>
        </w:r>
        <w:r w:rsidR="00BF44C5">
          <w:rPr>
            <w:noProof/>
            <w:webHidden/>
          </w:rPr>
          <w:instrText xml:space="preserve"> PAGEREF _Toc525067512 \h </w:instrText>
        </w:r>
        <w:r w:rsidR="00BF44C5">
          <w:rPr>
            <w:noProof/>
            <w:webHidden/>
          </w:rPr>
        </w:r>
        <w:r w:rsidR="00BF44C5">
          <w:rPr>
            <w:noProof/>
            <w:webHidden/>
          </w:rPr>
          <w:fldChar w:fldCharType="separate"/>
        </w:r>
        <w:r w:rsidR="00E9796E">
          <w:rPr>
            <w:noProof/>
            <w:webHidden/>
          </w:rPr>
          <w:t>13</w:t>
        </w:r>
        <w:r w:rsidR="00BF44C5">
          <w:rPr>
            <w:noProof/>
            <w:webHidden/>
          </w:rPr>
          <w:fldChar w:fldCharType="end"/>
        </w:r>
      </w:hyperlink>
    </w:p>
    <w:p w:rsidR="003113EE" w:rsidRDefault="005005AC" w:rsidP="00BF44C5">
      <w:pPr>
        <w:pStyle w:val="Obsah1"/>
      </w:pPr>
      <w:r w:rsidRPr="004C2ADF">
        <w:rPr>
          <w:sz w:val="32"/>
        </w:rPr>
        <w:fldChar w:fldCharType="end"/>
      </w:r>
    </w:p>
    <w:p w:rsidR="00E43EAD" w:rsidRDefault="000613C3" w:rsidP="00726941">
      <w:pPr>
        <w:pStyle w:val="Nadpis1"/>
      </w:pPr>
      <w:r>
        <w:br w:type="page"/>
      </w:r>
      <w:bookmarkStart w:id="0" w:name="_Toc525067485"/>
      <w:r w:rsidR="00E43EAD">
        <w:lastRenderedPageBreak/>
        <w:t>Základní údaje</w:t>
      </w:r>
      <w:bookmarkEnd w:id="0"/>
    </w:p>
    <w:p w:rsidR="00E43EAD" w:rsidRDefault="00973105" w:rsidP="003D32D3">
      <w:pPr>
        <w:spacing w:before="240" w:after="240"/>
        <w:ind w:left="708"/>
      </w:pPr>
      <w:r>
        <w:t>Tento dokument</w:t>
      </w:r>
      <w:r w:rsidR="00E43EAD">
        <w:t xml:space="preserve"> </w:t>
      </w:r>
      <w:r>
        <w:t>stanoví zadávací podmínky veřejné zakázky</w:t>
      </w:r>
      <w:r w:rsidR="00E43EAD">
        <w:t xml:space="preserve"> „Odvoz a likvidace komunálního odpadu z překládací stanice a sběrného dvora ve Dvoře Králové n. L.“</w:t>
      </w:r>
      <w:r>
        <w:t xml:space="preserve"> </w:t>
      </w:r>
    </w:p>
    <w:p w:rsidR="00E43EAD" w:rsidRDefault="00E43EAD" w:rsidP="003D32D3">
      <w:pPr>
        <w:spacing w:before="240" w:after="240"/>
        <w:ind w:left="708"/>
      </w:pPr>
      <w:r>
        <w:t xml:space="preserve">Jedná se o </w:t>
      </w:r>
      <w:r w:rsidR="00973105">
        <w:t xml:space="preserve">veřejnou </w:t>
      </w:r>
      <w:r>
        <w:t xml:space="preserve">zakázku na služby zadávanou v otevřeném řízení </w:t>
      </w:r>
      <w:r w:rsidR="00973105">
        <w:t xml:space="preserve">v nadlimitním režimu </w:t>
      </w:r>
      <w:r>
        <w:t>dle §</w:t>
      </w:r>
      <w:r w:rsidR="00973105">
        <w:rPr>
          <w:color w:val="FF0000"/>
        </w:rPr>
        <w:t> </w:t>
      </w:r>
      <w:r w:rsidR="00B045E4" w:rsidRPr="001338FD">
        <w:t>56 a následujících</w:t>
      </w:r>
      <w:r>
        <w:t xml:space="preserve"> zákona č. </w:t>
      </w:r>
      <w:r w:rsidR="00331200" w:rsidRPr="004873BE">
        <w:rPr>
          <w:rFonts w:cs="Arial"/>
          <w:szCs w:val="22"/>
        </w:rPr>
        <w:t>13</w:t>
      </w:r>
      <w:r w:rsidR="00331200">
        <w:rPr>
          <w:rFonts w:cs="Arial"/>
          <w:szCs w:val="22"/>
        </w:rPr>
        <w:t>4</w:t>
      </w:r>
      <w:r w:rsidR="00331200" w:rsidRPr="004873BE">
        <w:rPr>
          <w:rFonts w:cs="Arial"/>
          <w:szCs w:val="22"/>
        </w:rPr>
        <w:t>/20</w:t>
      </w:r>
      <w:r w:rsidR="00331200">
        <w:rPr>
          <w:rFonts w:cs="Arial"/>
          <w:szCs w:val="22"/>
        </w:rPr>
        <w:t>1</w:t>
      </w:r>
      <w:r w:rsidR="00331200" w:rsidRPr="004873BE">
        <w:rPr>
          <w:rFonts w:cs="Arial"/>
          <w:szCs w:val="22"/>
        </w:rPr>
        <w:t xml:space="preserve">6 </w:t>
      </w:r>
      <w:r>
        <w:t xml:space="preserve">Sb. </w:t>
      </w:r>
    </w:p>
    <w:p w:rsidR="00E43EAD" w:rsidRDefault="00A11B59" w:rsidP="003D32D3">
      <w:pPr>
        <w:spacing w:before="240" w:after="240"/>
        <w:ind w:firstLine="708"/>
      </w:pPr>
      <w:r>
        <w:t>Veřejná z</w:t>
      </w:r>
      <w:r w:rsidR="00E43EAD">
        <w:t>akázka není rozdělena na části.</w:t>
      </w:r>
    </w:p>
    <w:p w:rsidR="00E43EAD" w:rsidRDefault="00E43EAD" w:rsidP="003D32D3">
      <w:pPr>
        <w:spacing w:before="240" w:after="240"/>
        <w:ind w:left="708"/>
      </w:pPr>
      <w:r>
        <w:t xml:space="preserve">Zadávací dokumentace obsahuje nebo upřesňuje informace k údajům, které byly uveřejněny v Oznámení o </w:t>
      </w:r>
      <w:r w:rsidR="00973105">
        <w:t>zahájení zadávacího řízení</w:t>
      </w:r>
      <w:r>
        <w:t xml:space="preserve">, a je pro </w:t>
      </w:r>
      <w:r w:rsidR="00B045E4">
        <w:t>dodavatele</w:t>
      </w:r>
      <w:r>
        <w:t xml:space="preserve"> závazná. Obsahuje zadávací podmínky, </w:t>
      </w:r>
      <w:r w:rsidR="00973105">
        <w:t>jejichž splnění bude zadavatel posuzovat v rámci procesu posouzení splnění podmínek účasti jednotlivými dodavateli.</w:t>
      </w:r>
    </w:p>
    <w:p w:rsidR="00B359AC" w:rsidRDefault="00B359AC" w:rsidP="00726941">
      <w:pPr>
        <w:pStyle w:val="Nadpis1"/>
      </w:pPr>
      <w:bookmarkStart w:id="1" w:name="_Toc525067486"/>
      <w:r w:rsidRPr="006B37B9">
        <w:t>Identifikační údaje zadavatele</w:t>
      </w:r>
      <w:bookmarkEnd w:id="1"/>
    </w:p>
    <w:tbl>
      <w:tblPr>
        <w:tblW w:w="0" w:type="auto"/>
        <w:jc w:val="right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996"/>
      </w:tblGrid>
      <w:tr w:rsidR="00973105" w:rsidTr="003D32D3">
        <w:trPr>
          <w:trHeight w:val="397"/>
          <w:jc w:val="right"/>
        </w:trPr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105" w:rsidRDefault="00973105" w:rsidP="008D4944">
            <w:pPr>
              <w:spacing w:line="240" w:lineRule="auto"/>
            </w:pPr>
            <w:r>
              <w:t>Název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73105" w:rsidRPr="00A35625" w:rsidRDefault="00973105" w:rsidP="008D4944">
            <w:pPr>
              <w:spacing w:line="240" w:lineRule="auto"/>
              <w:rPr>
                <w:b/>
              </w:rPr>
            </w:pPr>
            <w:r w:rsidRPr="00A35625">
              <w:rPr>
                <w:b/>
              </w:rPr>
              <w:t>Město Dvůr Králové nad Labem</w:t>
            </w:r>
          </w:p>
        </w:tc>
      </w:tr>
      <w:tr w:rsidR="00973105" w:rsidTr="003D32D3">
        <w:trPr>
          <w:trHeight w:val="397"/>
          <w:jc w:val="right"/>
        </w:trPr>
        <w:tc>
          <w:tcPr>
            <w:tcW w:w="1476" w:type="dxa"/>
            <w:tcBorders>
              <w:bottom w:val="nil"/>
            </w:tcBorders>
            <w:shd w:val="clear" w:color="auto" w:fill="auto"/>
            <w:vAlign w:val="center"/>
          </w:tcPr>
          <w:p w:rsidR="00973105" w:rsidRDefault="00973105" w:rsidP="008D4944">
            <w:pPr>
              <w:spacing w:line="240" w:lineRule="auto"/>
            </w:pPr>
            <w:r>
              <w:t>Sídlo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73105" w:rsidRDefault="00973105" w:rsidP="008D4944">
            <w:pPr>
              <w:spacing w:line="240" w:lineRule="auto"/>
            </w:pPr>
            <w:r>
              <w:t>náměstí T. G. Masaryka 38</w:t>
            </w:r>
          </w:p>
        </w:tc>
      </w:tr>
      <w:tr w:rsidR="00973105" w:rsidTr="003D32D3">
        <w:trPr>
          <w:trHeight w:val="397"/>
          <w:jc w:val="right"/>
        </w:trPr>
        <w:tc>
          <w:tcPr>
            <w:tcW w:w="1476" w:type="dxa"/>
            <w:tcBorders>
              <w:top w:val="nil"/>
            </w:tcBorders>
            <w:shd w:val="clear" w:color="auto" w:fill="auto"/>
            <w:vAlign w:val="center"/>
          </w:tcPr>
          <w:p w:rsidR="00973105" w:rsidRDefault="00973105" w:rsidP="008D4944">
            <w:pPr>
              <w:spacing w:line="240" w:lineRule="auto"/>
            </w:pPr>
          </w:p>
        </w:tc>
        <w:tc>
          <w:tcPr>
            <w:tcW w:w="6996" w:type="dxa"/>
            <w:shd w:val="clear" w:color="auto" w:fill="auto"/>
            <w:vAlign w:val="center"/>
          </w:tcPr>
          <w:p w:rsidR="00973105" w:rsidRDefault="00973105" w:rsidP="008D4944">
            <w:pPr>
              <w:spacing w:line="240" w:lineRule="auto"/>
            </w:pPr>
            <w:r>
              <w:t>Dvůr Králové nad Labem, 544 17</w:t>
            </w:r>
          </w:p>
        </w:tc>
      </w:tr>
      <w:tr w:rsidR="00973105" w:rsidTr="003D32D3">
        <w:trPr>
          <w:trHeight w:val="397"/>
          <w:jc w:val="right"/>
        </w:trPr>
        <w:tc>
          <w:tcPr>
            <w:tcW w:w="1476" w:type="dxa"/>
            <w:shd w:val="clear" w:color="auto" w:fill="auto"/>
            <w:vAlign w:val="center"/>
          </w:tcPr>
          <w:p w:rsidR="00973105" w:rsidRDefault="00973105" w:rsidP="008D4944">
            <w:pPr>
              <w:spacing w:line="240" w:lineRule="auto"/>
            </w:pPr>
            <w:r>
              <w:t>Telefon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73105" w:rsidRDefault="00973105" w:rsidP="008D4944">
            <w:pPr>
              <w:spacing w:line="240" w:lineRule="auto"/>
            </w:pPr>
            <w:r>
              <w:t>+420 499 318 111</w:t>
            </w:r>
          </w:p>
        </w:tc>
      </w:tr>
      <w:tr w:rsidR="00973105" w:rsidTr="003D32D3">
        <w:trPr>
          <w:trHeight w:val="397"/>
          <w:jc w:val="right"/>
        </w:trPr>
        <w:tc>
          <w:tcPr>
            <w:tcW w:w="1476" w:type="dxa"/>
            <w:shd w:val="clear" w:color="auto" w:fill="auto"/>
            <w:vAlign w:val="center"/>
          </w:tcPr>
          <w:p w:rsidR="00973105" w:rsidRDefault="00973105" w:rsidP="008D4944">
            <w:pPr>
              <w:spacing w:line="240" w:lineRule="auto"/>
            </w:pPr>
            <w:r>
              <w:t>Fax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73105" w:rsidRDefault="00973105" w:rsidP="008D4944">
            <w:pPr>
              <w:spacing w:line="240" w:lineRule="auto"/>
            </w:pPr>
            <w:r>
              <w:t>+420 499 320 171</w:t>
            </w:r>
          </w:p>
        </w:tc>
      </w:tr>
      <w:tr w:rsidR="00973105" w:rsidTr="003D32D3">
        <w:trPr>
          <w:trHeight w:val="397"/>
          <w:jc w:val="right"/>
        </w:trPr>
        <w:tc>
          <w:tcPr>
            <w:tcW w:w="1476" w:type="dxa"/>
            <w:shd w:val="clear" w:color="auto" w:fill="auto"/>
            <w:vAlign w:val="center"/>
          </w:tcPr>
          <w:p w:rsidR="00973105" w:rsidRDefault="00973105" w:rsidP="008D4944">
            <w:pPr>
              <w:spacing w:line="240" w:lineRule="auto"/>
            </w:pPr>
            <w:r>
              <w:t>IČ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73105" w:rsidRDefault="00973105" w:rsidP="008D4944">
            <w:pPr>
              <w:spacing w:line="240" w:lineRule="auto"/>
            </w:pPr>
            <w:r>
              <w:t>00277819</w:t>
            </w:r>
          </w:p>
        </w:tc>
      </w:tr>
      <w:tr w:rsidR="00973105" w:rsidTr="003D32D3">
        <w:trPr>
          <w:trHeight w:val="397"/>
          <w:jc w:val="right"/>
        </w:trPr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105" w:rsidRDefault="00973105" w:rsidP="008D4944">
            <w:pPr>
              <w:spacing w:line="240" w:lineRule="auto"/>
            </w:pPr>
            <w:r>
              <w:t>DIČ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73105" w:rsidRDefault="00973105" w:rsidP="008D4944">
            <w:pPr>
              <w:spacing w:line="240" w:lineRule="auto"/>
            </w:pPr>
            <w:r>
              <w:t>CZ00277819</w:t>
            </w:r>
          </w:p>
        </w:tc>
      </w:tr>
      <w:tr w:rsidR="00973105" w:rsidTr="003D32D3">
        <w:trPr>
          <w:trHeight w:val="397"/>
          <w:jc w:val="right"/>
        </w:trPr>
        <w:tc>
          <w:tcPr>
            <w:tcW w:w="1476" w:type="dxa"/>
            <w:tcBorders>
              <w:bottom w:val="nil"/>
            </w:tcBorders>
            <w:shd w:val="clear" w:color="auto" w:fill="auto"/>
            <w:vAlign w:val="center"/>
          </w:tcPr>
          <w:p w:rsidR="00973105" w:rsidRDefault="00973105" w:rsidP="008D4944">
            <w:pPr>
              <w:spacing w:line="240" w:lineRule="auto"/>
            </w:pPr>
            <w:r>
              <w:t>Bankovní spojení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73105" w:rsidRDefault="00973105" w:rsidP="008D4944">
            <w:pPr>
              <w:spacing w:line="240" w:lineRule="auto"/>
            </w:pPr>
            <w:r>
              <w:t>ČSOB, a. s., Dvůr Králové nad Labem</w:t>
            </w:r>
          </w:p>
        </w:tc>
      </w:tr>
      <w:tr w:rsidR="00973105" w:rsidTr="003D32D3">
        <w:trPr>
          <w:trHeight w:val="397"/>
          <w:jc w:val="right"/>
        </w:trPr>
        <w:tc>
          <w:tcPr>
            <w:tcW w:w="1476" w:type="dxa"/>
            <w:tcBorders>
              <w:top w:val="nil"/>
            </w:tcBorders>
            <w:shd w:val="clear" w:color="auto" w:fill="auto"/>
            <w:vAlign w:val="center"/>
          </w:tcPr>
          <w:p w:rsidR="00973105" w:rsidRDefault="00973105" w:rsidP="008D4944">
            <w:pPr>
              <w:spacing w:line="240" w:lineRule="auto"/>
            </w:pPr>
          </w:p>
        </w:tc>
        <w:tc>
          <w:tcPr>
            <w:tcW w:w="6996" w:type="dxa"/>
            <w:shd w:val="clear" w:color="auto" w:fill="auto"/>
            <w:vAlign w:val="center"/>
          </w:tcPr>
          <w:p w:rsidR="00973105" w:rsidRDefault="00973105" w:rsidP="008D4944">
            <w:pPr>
              <w:spacing w:line="240" w:lineRule="auto"/>
            </w:pPr>
            <w:r>
              <w:t>číslo účtu: 187589301/0300</w:t>
            </w:r>
          </w:p>
        </w:tc>
      </w:tr>
    </w:tbl>
    <w:p w:rsidR="003113EE" w:rsidRDefault="003113EE" w:rsidP="003113EE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3486"/>
      </w:tblGrid>
      <w:tr w:rsidR="003113EE" w:rsidTr="003D32D3">
        <w:trPr>
          <w:trHeight w:val="397"/>
        </w:trPr>
        <w:tc>
          <w:tcPr>
            <w:tcW w:w="5245" w:type="dxa"/>
            <w:shd w:val="clear" w:color="auto" w:fill="auto"/>
            <w:vAlign w:val="center"/>
          </w:tcPr>
          <w:p w:rsidR="003113EE" w:rsidRDefault="003113EE" w:rsidP="008D4944">
            <w:pPr>
              <w:spacing w:line="240" w:lineRule="auto"/>
            </w:pPr>
            <w:r>
              <w:t>Osoba oprávněná jednat jménem zadavatele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3113EE" w:rsidRDefault="00E93A5C" w:rsidP="007868EF">
            <w:pPr>
              <w:spacing w:line="240" w:lineRule="auto"/>
            </w:pPr>
            <w:r>
              <w:t>Ing</w:t>
            </w:r>
            <w:r w:rsidR="003113EE">
              <w:t xml:space="preserve">. </w:t>
            </w:r>
            <w:r>
              <w:t>Jan Jarolím</w:t>
            </w:r>
            <w:r w:rsidR="003113EE">
              <w:t>, starosta</w:t>
            </w:r>
          </w:p>
        </w:tc>
      </w:tr>
    </w:tbl>
    <w:p w:rsidR="006B4BF3" w:rsidRDefault="006B4BF3" w:rsidP="003D32D3">
      <w:pPr>
        <w:spacing w:before="240" w:after="240"/>
        <w:ind w:left="708"/>
      </w:pPr>
      <w:r>
        <w:t>Funkci zadavatele ve vztahu k předmětné zakázce za město Dvůr Králové nad Labem</w:t>
      </w:r>
      <w:r w:rsidR="000D4855">
        <w:t>,</w:t>
      </w:r>
      <w:r>
        <w:t xml:space="preserve"> ve smyslu zákona č. 128/2000 Sb., o obcích, ve znění pozdějších předpisů, plní Rada města Dvůr Králové nad Labem.</w:t>
      </w:r>
    </w:p>
    <w:p w:rsidR="006B4BF3" w:rsidRDefault="006B4BF3" w:rsidP="003D32D3">
      <w:pPr>
        <w:spacing w:before="240" w:after="240"/>
        <w:ind w:left="708"/>
      </w:pPr>
      <w:r>
        <w:t>Ve věcech zadávacího řízení veřejné zakázky je oprávněn jednat: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563"/>
        <w:gridCol w:w="3393"/>
      </w:tblGrid>
      <w:tr w:rsidR="007B01B5" w:rsidTr="003D32D3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A35625" w:rsidRDefault="00400795" w:rsidP="008D4944">
            <w:pPr>
              <w:spacing w:line="240" w:lineRule="auto"/>
            </w:pPr>
            <w:r>
              <w:rPr>
                <w:b/>
              </w:rPr>
              <w:t>Bc. Milan Šimek, Dis.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35625" w:rsidRDefault="00400795" w:rsidP="00400795">
            <w:pPr>
              <w:spacing w:line="240" w:lineRule="auto"/>
            </w:pPr>
            <w:r>
              <w:t>Telefon: +420 499 318 138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A35625" w:rsidRDefault="00A35625" w:rsidP="00400795">
            <w:pPr>
              <w:spacing w:line="240" w:lineRule="auto"/>
            </w:pPr>
            <w:r>
              <w:t>E-mail:</w:t>
            </w:r>
            <w:r w:rsidR="0034216F">
              <w:t xml:space="preserve"> </w:t>
            </w:r>
            <w:r w:rsidR="00400795">
              <w:t>simek.milan@mudk.cz</w:t>
            </w:r>
          </w:p>
        </w:tc>
      </w:tr>
      <w:tr w:rsidR="00A35625" w:rsidTr="003D32D3">
        <w:trPr>
          <w:trHeight w:val="397"/>
        </w:trPr>
        <w:tc>
          <w:tcPr>
            <w:tcW w:w="8905" w:type="dxa"/>
            <w:gridSpan w:val="3"/>
            <w:shd w:val="clear" w:color="auto" w:fill="auto"/>
            <w:vAlign w:val="center"/>
          </w:tcPr>
          <w:p w:rsidR="00A35625" w:rsidRDefault="00A35625" w:rsidP="008D4944">
            <w:pPr>
              <w:spacing w:line="240" w:lineRule="auto"/>
            </w:pPr>
            <w:r>
              <w:t>vedo</w:t>
            </w:r>
            <w:r w:rsidR="00E40E69">
              <w:t>ucí odboru životního prostředí M</w:t>
            </w:r>
            <w:r>
              <w:t>ěstského úřadu Dvůr Králové nad Labem</w:t>
            </w:r>
          </w:p>
        </w:tc>
      </w:tr>
    </w:tbl>
    <w:p w:rsidR="00400795" w:rsidRDefault="00400795" w:rsidP="003D32D3">
      <w:pPr>
        <w:spacing w:before="240" w:after="240"/>
        <w:ind w:left="708"/>
      </w:pPr>
      <w:r>
        <w:t>Ve věcech technických oprávněn jednat: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562"/>
        <w:gridCol w:w="3388"/>
      </w:tblGrid>
      <w:tr w:rsidR="00400795" w:rsidTr="003D32D3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400795" w:rsidRDefault="00400795" w:rsidP="00400795">
            <w:pPr>
              <w:spacing w:line="240" w:lineRule="auto"/>
            </w:pPr>
            <w:r>
              <w:rPr>
                <w:b/>
              </w:rPr>
              <w:t>Ing. Eva Šírková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00795" w:rsidRDefault="00400795" w:rsidP="00400795">
            <w:pPr>
              <w:spacing w:line="240" w:lineRule="auto"/>
            </w:pPr>
            <w:r>
              <w:t>Telefon: +420 499 318 289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00795" w:rsidRDefault="00400795" w:rsidP="00400795">
            <w:pPr>
              <w:spacing w:line="240" w:lineRule="auto"/>
            </w:pPr>
            <w:r>
              <w:t>E-mail: sirkova.eva@mudk.cz</w:t>
            </w:r>
          </w:p>
        </w:tc>
      </w:tr>
      <w:tr w:rsidR="00400795" w:rsidTr="003D32D3">
        <w:trPr>
          <w:trHeight w:val="397"/>
        </w:trPr>
        <w:tc>
          <w:tcPr>
            <w:tcW w:w="8905" w:type="dxa"/>
            <w:gridSpan w:val="3"/>
            <w:shd w:val="clear" w:color="auto" w:fill="auto"/>
            <w:vAlign w:val="center"/>
          </w:tcPr>
          <w:p w:rsidR="00400795" w:rsidRDefault="00400795" w:rsidP="00CF7825">
            <w:pPr>
              <w:spacing w:line="240" w:lineRule="auto"/>
            </w:pPr>
            <w:r>
              <w:t>referentka odboru životního prostředí Městského úřadu Dvůr Králové nad Labem</w:t>
            </w:r>
          </w:p>
        </w:tc>
      </w:tr>
    </w:tbl>
    <w:p w:rsidR="00A11B59" w:rsidRDefault="00A11B59">
      <w:pPr>
        <w:spacing w:line="240" w:lineRule="auto"/>
        <w:jc w:val="left"/>
        <w:rPr>
          <w:b/>
          <w:bCs/>
          <w:sz w:val="26"/>
          <w:szCs w:val="28"/>
        </w:rPr>
      </w:pPr>
      <w:r>
        <w:br w:type="page"/>
      </w:r>
    </w:p>
    <w:p w:rsidR="00B359AC" w:rsidRDefault="004913D0" w:rsidP="00726941">
      <w:pPr>
        <w:pStyle w:val="Nadpis1"/>
      </w:pPr>
      <w:bookmarkStart w:id="2" w:name="_Toc525067487"/>
      <w:r>
        <w:lastRenderedPageBreak/>
        <w:t>Předmět</w:t>
      </w:r>
      <w:r w:rsidR="00B359AC" w:rsidRPr="006B37B9">
        <w:t xml:space="preserve"> veřejné zakázky</w:t>
      </w:r>
      <w:r>
        <w:t xml:space="preserve"> a předpokládaná hodnota</w:t>
      </w:r>
      <w:bookmarkEnd w:id="2"/>
    </w:p>
    <w:p w:rsidR="004C2ADF" w:rsidRDefault="00650ACD" w:rsidP="003D32D3">
      <w:pPr>
        <w:spacing w:before="240" w:after="240"/>
        <w:ind w:left="708"/>
      </w:pPr>
      <w:r>
        <w:t xml:space="preserve">Předmětem této zakázky je </w:t>
      </w:r>
      <w:r w:rsidR="004913D0">
        <w:t>odvoz a likvidace komunálního odpadu z překládací stanice a sběrného dvora ve Dvoře Králové n. L.</w:t>
      </w:r>
    </w:p>
    <w:p w:rsidR="00650ACD" w:rsidRDefault="00650ACD" w:rsidP="00650ACD">
      <w: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</w:tblGrid>
      <w:tr w:rsidR="00BF36BE" w:rsidRPr="002A3686" w:rsidTr="003D32D3">
        <w:trPr>
          <w:trHeight w:val="397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6BE" w:rsidRPr="002A3686" w:rsidRDefault="00BF36BE" w:rsidP="002A3686">
            <w:pPr>
              <w:spacing w:line="240" w:lineRule="auto"/>
              <w:jc w:val="left"/>
              <w:rPr>
                <w:b/>
              </w:rPr>
            </w:pPr>
            <w:r w:rsidRPr="002A3686">
              <w:rPr>
                <w:b/>
              </w:rPr>
              <w:t>Klasifikace předmětu veřejné zakázky (CPV)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6BE" w:rsidRPr="002A3686" w:rsidRDefault="00BF36BE" w:rsidP="00942701">
            <w:pPr>
              <w:spacing w:line="240" w:lineRule="auto"/>
              <w:jc w:val="center"/>
              <w:rPr>
                <w:b/>
              </w:rPr>
            </w:pPr>
            <w:r w:rsidRPr="002A3686">
              <w:rPr>
                <w:rFonts w:cs="Arial"/>
                <w:b/>
                <w:bCs/>
              </w:rPr>
              <w:t>9051</w:t>
            </w:r>
            <w:r w:rsidR="00942701">
              <w:rPr>
                <w:rFonts w:cs="Arial"/>
                <w:b/>
                <w:bCs/>
              </w:rPr>
              <w:t>3</w:t>
            </w:r>
            <w:r w:rsidRPr="002A3686">
              <w:rPr>
                <w:rFonts w:cs="Arial"/>
                <w:b/>
                <w:bCs/>
              </w:rPr>
              <w:t>200-8</w:t>
            </w:r>
          </w:p>
        </w:tc>
      </w:tr>
      <w:tr w:rsidR="00BF36BE" w:rsidRPr="002A3686" w:rsidTr="003D32D3">
        <w:trPr>
          <w:trHeight w:val="397"/>
        </w:trPr>
        <w:tc>
          <w:tcPr>
            <w:tcW w:w="45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6BE" w:rsidRPr="002A3686" w:rsidRDefault="00BF36BE" w:rsidP="002A3686">
            <w:pPr>
              <w:spacing w:line="240" w:lineRule="auto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6BE" w:rsidRPr="002A3686" w:rsidRDefault="00BF36BE" w:rsidP="002A3686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2A3686">
              <w:rPr>
                <w:rFonts w:cs="Arial"/>
                <w:b/>
                <w:bCs/>
              </w:rPr>
              <w:t>90512000-9</w:t>
            </w:r>
          </w:p>
        </w:tc>
      </w:tr>
    </w:tbl>
    <w:p w:rsidR="004913D0" w:rsidRDefault="00650ACD" w:rsidP="003D32D3">
      <w:pPr>
        <w:spacing w:before="240" w:after="240"/>
        <w:ind w:left="708"/>
      </w:pPr>
      <w:r>
        <w:t>Klasifikace odpadů dle předmětu zakázky je uvedena v následující tabulce. Jednotlivé kódy druhů odpadů jsou stanoveny vyhláškou Ministerstva životního prostředí ČR č. 381/2001 Sb., katalog odpadů.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480"/>
      </w:tblGrid>
      <w:tr w:rsidR="00650ACD" w:rsidTr="003D32D3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650ACD" w:rsidRDefault="00650ACD" w:rsidP="002A3686">
            <w:pPr>
              <w:spacing w:line="240" w:lineRule="auto"/>
            </w:pPr>
            <w:r>
              <w:t>Skupina</w:t>
            </w:r>
          </w:p>
        </w:tc>
      </w:tr>
      <w:tr w:rsidR="00650ACD" w:rsidTr="003D32D3">
        <w:trPr>
          <w:trHeight w:val="680"/>
        </w:trPr>
        <w:tc>
          <w:tcPr>
            <w:tcW w:w="992" w:type="dxa"/>
            <w:shd w:val="clear" w:color="auto" w:fill="auto"/>
            <w:vAlign w:val="center"/>
          </w:tcPr>
          <w:p w:rsidR="00650ACD" w:rsidRPr="002A3686" w:rsidRDefault="00650ACD" w:rsidP="002A3686">
            <w:pPr>
              <w:spacing w:line="240" w:lineRule="auto"/>
              <w:jc w:val="center"/>
              <w:rPr>
                <w:b/>
              </w:rPr>
            </w:pPr>
            <w:r w:rsidRPr="002A3686">
              <w:rPr>
                <w:b/>
              </w:rPr>
              <w:t>20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650ACD" w:rsidRDefault="00650ACD" w:rsidP="002A3686">
            <w:pPr>
              <w:spacing w:line="240" w:lineRule="auto"/>
            </w:pPr>
            <w:r w:rsidRPr="002A3686">
              <w:rPr>
                <w:rFonts w:cs="Arial"/>
                <w:b/>
              </w:rPr>
              <w:t>Komunální odpady (odpady z domácností a podobné živnostenské, průmyslové odpady a odpady z úřadů), včetně složek z odděleného sběru</w:t>
            </w:r>
          </w:p>
        </w:tc>
      </w:tr>
      <w:tr w:rsidR="00650ACD" w:rsidTr="003D32D3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650ACD" w:rsidRDefault="00650ACD" w:rsidP="002A3686">
            <w:pPr>
              <w:spacing w:line="240" w:lineRule="auto"/>
            </w:pPr>
            <w:r>
              <w:t>Podskupina</w:t>
            </w:r>
          </w:p>
        </w:tc>
      </w:tr>
      <w:tr w:rsidR="00650ACD" w:rsidTr="003D32D3">
        <w:trPr>
          <w:trHeight w:val="397"/>
        </w:trPr>
        <w:tc>
          <w:tcPr>
            <w:tcW w:w="992" w:type="dxa"/>
            <w:shd w:val="clear" w:color="auto" w:fill="auto"/>
            <w:vAlign w:val="center"/>
          </w:tcPr>
          <w:p w:rsidR="00650ACD" w:rsidRPr="002A3686" w:rsidRDefault="00650ACD" w:rsidP="002A3686">
            <w:pPr>
              <w:spacing w:line="240" w:lineRule="auto"/>
              <w:jc w:val="center"/>
              <w:rPr>
                <w:b/>
              </w:rPr>
            </w:pPr>
            <w:r w:rsidRPr="002A3686">
              <w:rPr>
                <w:b/>
              </w:rPr>
              <w:t>02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650ACD" w:rsidRPr="002A3686" w:rsidRDefault="00650ACD" w:rsidP="002A3686">
            <w:pPr>
              <w:spacing w:line="240" w:lineRule="auto"/>
              <w:rPr>
                <w:b/>
              </w:rPr>
            </w:pPr>
            <w:r w:rsidRPr="002A3686">
              <w:rPr>
                <w:rFonts w:cs="Arial"/>
                <w:b/>
              </w:rPr>
              <w:t>Odpady ze zahrad a parků (včetně hřbitovního odpadu)</w:t>
            </w:r>
          </w:p>
        </w:tc>
      </w:tr>
      <w:tr w:rsidR="00650ACD" w:rsidTr="003D32D3">
        <w:trPr>
          <w:trHeight w:val="397"/>
        </w:trPr>
        <w:tc>
          <w:tcPr>
            <w:tcW w:w="992" w:type="dxa"/>
            <w:shd w:val="clear" w:color="auto" w:fill="auto"/>
            <w:vAlign w:val="center"/>
          </w:tcPr>
          <w:p w:rsidR="00650ACD" w:rsidRPr="002A3686" w:rsidRDefault="00650ACD" w:rsidP="002A3686">
            <w:pPr>
              <w:spacing w:line="240" w:lineRule="auto"/>
              <w:jc w:val="center"/>
              <w:rPr>
                <w:b/>
              </w:rPr>
            </w:pPr>
            <w:r w:rsidRPr="002A3686">
              <w:rPr>
                <w:b/>
              </w:rPr>
              <w:t>03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650ACD" w:rsidRPr="002A3686" w:rsidRDefault="00650ACD" w:rsidP="002A3686">
            <w:pPr>
              <w:spacing w:line="240" w:lineRule="auto"/>
              <w:rPr>
                <w:b/>
              </w:rPr>
            </w:pPr>
            <w:r w:rsidRPr="002A3686">
              <w:rPr>
                <w:rFonts w:cs="Arial"/>
                <w:b/>
              </w:rPr>
              <w:t>Ostatní komunální odpady</w:t>
            </w:r>
          </w:p>
        </w:tc>
      </w:tr>
    </w:tbl>
    <w:p w:rsidR="00D37E66" w:rsidRDefault="00D37E66" w:rsidP="004913D0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3506"/>
      </w:tblGrid>
      <w:tr w:rsidR="00D17BE1" w:rsidTr="003D32D3">
        <w:trPr>
          <w:trHeight w:val="397"/>
        </w:trPr>
        <w:tc>
          <w:tcPr>
            <w:tcW w:w="4966" w:type="dxa"/>
            <w:shd w:val="clear" w:color="auto" w:fill="auto"/>
            <w:vAlign w:val="center"/>
          </w:tcPr>
          <w:p w:rsidR="00D17BE1" w:rsidRPr="002A3686" w:rsidRDefault="00D17BE1" w:rsidP="002A3686">
            <w:pPr>
              <w:spacing w:line="240" w:lineRule="auto"/>
              <w:rPr>
                <w:b/>
              </w:rPr>
            </w:pPr>
            <w:r w:rsidRPr="002A3686">
              <w:rPr>
                <w:b/>
              </w:rPr>
              <w:t>Předpokládaná hodnota veřejné zakázky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D17BE1" w:rsidRPr="002A3686" w:rsidRDefault="00D17BE1" w:rsidP="00400795">
            <w:pPr>
              <w:spacing w:line="240" w:lineRule="auto"/>
              <w:jc w:val="center"/>
              <w:rPr>
                <w:b/>
              </w:rPr>
            </w:pPr>
            <w:r w:rsidRPr="002A3686">
              <w:rPr>
                <w:b/>
              </w:rPr>
              <w:t>1</w:t>
            </w:r>
            <w:r w:rsidR="00400795">
              <w:rPr>
                <w:b/>
              </w:rPr>
              <w:t>7</w:t>
            </w:r>
            <w:r w:rsidRPr="002A3686">
              <w:rPr>
                <w:b/>
              </w:rPr>
              <w:t>.</w:t>
            </w:r>
            <w:r w:rsidR="00E93A5C">
              <w:rPr>
                <w:b/>
              </w:rPr>
              <w:t>500</w:t>
            </w:r>
            <w:r w:rsidRPr="002A3686">
              <w:rPr>
                <w:b/>
              </w:rPr>
              <w:t>.000 Kč bez DPH</w:t>
            </w:r>
          </w:p>
        </w:tc>
      </w:tr>
    </w:tbl>
    <w:p w:rsidR="001B34AF" w:rsidRDefault="001B34AF" w:rsidP="00726941">
      <w:pPr>
        <w:pStyle w:val="Nadpis1"/>
      </w:pPr>
      <w:bookmarkStart w:id="3" w:name="_Toc525067488"/>
      <w:r>
        <w:t>Variantní nabídky</w:t>
      </w:r>
      <w:bookmarkEnd w:id="3"/>
    </w:p>
    <w:p w:rsidR="00B437EC" w:rsidRPr="00A11B59" w:rsidRDefault="002A1264" w:rsidP="003D32D3">
      <w:pPr>
        <w:spacing w:before="240" w:after="240"/>
        <w:ind w:left="708"/>
      </w:pPr>
      <w:r w:rsidRPr="00A11B59">
        <w:t>Zadavatel nepřipouští variantní řešení</w:t>
      </w:r>
      <w:r w:rsidR="00B437EC" w:rsidRPr="00A11B59">
        <w:t xml:space="preserve">. </w:t>
      </w:r>
    </w:p>
    <w:p w:rsidR="00B359AC" w:rsidRDefault="00B359AC" w:rsidP="00726941">
      <w:pPr>
        <w:pStyle w:val="Nadpis1"/>
      </w:pPr>
      <w:bookmarkStart w:id="4" w:name="_Toc525067489"/>
      <w:r w:rsidRPr="006B37B9">
        <w:t>Termín plnění zakázky</w:t>
      </w:r>
      <w:bookmarkEnd w:id="4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8"/>
        <w:gridCol w:w="2184"/>
      </w:tblGrid>
      <w:tr w:rsidR="004C2ADF" w:rsidTr="003D32D3">
        <w:trPr>
          <w:trHeight w:val="397"/>
        </w:trPr>
        <w:tc>
          <w:tcPr>
            <w:tcW w:w="6288" w:type="dxa"/>
            <w:shd w:val="clear" w:color="auto" w:fill="auto"/>
            <w:vAlign w:val="center"/>
          </w:tcPr>
          <w:p w:rsidR="004C2ADF" w:rsidRDefault="004C2ADF" w:rsidP="002A3686">
            <w:pPr>
              <w:spacing w:line="240" w:lineRule="auto"/>
            </w:pPr>
            <w:r>
              <w:t>Datum zahájení plnění zakázky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4C2ADF" w:rsidRPr="002A3686" w:rsidRDefault="004C2ADF" w:rsidP="00400795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2A3686">
              <w:rPr>
                <w:b/>
              </w:rPr>
              <w:t>01.01.201</w:t>
            </w:r>
            <w:r w:rsidR="00400795">
              <w:rPr>
                <w:b/>
              </w:rPr>
              <w:t>9</w:t>
            </w:r>
            <w:proofErr w:type="gramEnd"/>
          </w:p>
        </w:tc>
      </w:tr>
      <w:tr w:rsidR="004C2ADF" w:rsidTr="003D32D3">
        <w:trPr>
          <w:trHeight w:val="397"/>
        </w:trPr>
        <w:tc>
          <w:tcPr>
            <w:tcW w:w="6288" w:type="dxa"/>
            <w:shd w:val="clear" w:color="auto" w:fill="auto"/>
            <w:vAlign w:val="center"/>
          </w:tcPr>
          <w:p w:rsidR="004C2ADF" w:rsidRDefault="004C2ADF" w:rsidP="002A3686">
            <w:pPr>
              <w:spacing w:line="240" w:lineRule="auto"/>
            </w:pPr>
            <w:r>
              <w:t>Datum ukončení plnění zakázky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4C2ADF" w:rsidRPr="002A3686" w:rsidRDefault="00400795" w:rsidP="00400795">
            <w:pPr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</w:tr>
    </w:tbl>
    <w:p w:rsidR="00B359AC" w:rsidRDefault="002A485C" w:rsidP="00726941">
      <w:pPr>
        <w:pStyle w:val="Nadpis1"/>
      </w:pPr>
      <w:bookmarkStart w:id="5" w:name="_Toc525067490"/>
      <w:r w:rsidRPr="006B37B9">
        <w:t>O</w:t>
      </w:r>
      <w:r w:rsidR="00B359AC" w:rsidRPr="006B37B9">
        <w:t xml:space="preserve">bchodní </w:t>
      </w:r>
      <w:r w:rsidR="00A96F28">
        <w:t xml:space="preserve">a platební </w:t>
      </w:r>
      <w:r w:rsidR="00B359AC" w:rsidRPr="006B37B9">
        <w:t>podmínky</w:t>
      </w:r>
      <w:bookmarkEnd w:id="5"/>
    </w:p>
    <w:p w:rsidR="000613C3" w:rsidRPr="000613C3" w:rsidRDefault="000613C3" w:rsidP="003D32D3">
      <w:pPr>
        <w:spacing w:before="240" w:after="240"/>
        <w:ind w:left="708"/>
      </w:pPr>
      <w:r w:rsidRPr="00A11B59">
        <w:t>Zadavatel, jako součást zadávací dokumentace, předkládá obchodní podmínky pro plnění této veřejné zakázky. Tyto jsou závazné a dále vymezeny ve formě a struktuře předloženého návrhu smlouvy (viz příloha).</w:t>
      </w:r>
    </w:p>
    <w:p w:rsidR="000613C3" w:rsidRDefault="000613C3" w:rsidP="003D32D3">
      <w:pPr>
        <w:pStyle w:val="Nadpis2"/>
        <w:spacing w:before="240" w:after="240"/>
        <w:ind w:left="1418" w:hanging="709"/>
      </w:pPr>
      <w:bookmarkStart w:id="6" w:name="_Toc525067491"/>
      <w:r>
        <w:t>Možné úpravy obchodních podmínek</w:t>
      </w:r>
      <w:bookmarkEnd w:id="6"/>
    </w:p>
    <w:p w:rsidR="000613C3" w:rsidRPr="00A11B59" w:rsidRDefault="00B045E4" w:rsidP="003D32D3">
      <w:pPr>
        <w:spacing w:before="240" w:after="240"/>
        <w:ind w:left="1416"/>
      </w:pPr>
      <w:r>
        <w:t>Dodavatel</w:t>
      </w:r>
      <w:r w:rsidR="000613C3" w:rsidRPr="00A11B59">
        <w:t xml:space="preserve"> do </w:t>
      </w:r>
      <w:r w:rsidR="00A11B59">
        <w:t>návrhu smlouvy</w:t>
      </w:r>
      <w:r w:rsidR="000613C3" w:rsidRPr="00A11B59">
        <w:t xml:space="preserve"> doplní </w:t>
      </w:r>
      <w:r w:rsidR="00A11B59">
        <w:t xml:space="preserve">na vyznačených místech </w:t>
      </w:r>
      <w:r w:rsidR="000613C3" w:rsidRPr="00A11B59">
        <w:t>údaje nezbytné pro vznik návrhu smlouvy - zejména vlastní identifikační údaje a nabídkovou cenu a popřípadě další údaje (např. upraví výši smluvních pokut) a takto doplněné předloží jako svůj návrh smlouvy.</w:t>
      </w:r>
      <w:r w:rsidR="00C3221C" w:rsidRPr="00A11B59">
        <w:t xml:space="preserve"> Případné další údaje je nutné ve smlouvě graficky odlišit (napsat kurzívou a podtrženě).</w:t>
      </w:r>
    </w:p>
    <w:p w:rsidR="000613C3" w:rsidRDefault="000613C3" w:rsidP="003D32D3">
      <w:pPr>
        <w:pStyle w:val="Nadpis2"/>
        <w:spacing w:before="240" w:after="240"/>
        <w:ind w:left="1418" w:hanging="709"/>
      </w:pPr>
      <w:bookmarkStart w:id="7" w:name="_Toc525067492"/>
      <w:r>
        <w:lastRenderedPageBreak/>
        <w:t>Závaznost obchodních podmínek</w:t>
      </w:r>
      <w:bookmarkEnd w:id="7"/>
    </w:p>
    <w:p w:rsidR="000613C3" w:rsidRPr="00A11B59" w:rsidRDefault="000613C3" w:rsidP="003D32D3">
      <w:pPr>
        <w:spacing w:before="240" w:after="240"/>
        <w:ind w:left="1416"/>
      </w:pPr>
      <w:r w:rsidRPr="00A11B59">
        <w:t xml:space="preserve">Obchodní podmínky vymezují budoucí rámec smluvního vztahu. Nabídka </w:t>
      </w:r>
      <w:r w:rsidR="00B045E4" w:rsidRPr="00A11B59">
        <w:t>dodavatele</w:t>
      </w:r>
      <w:r w:rsidRPr="00A11B59">
        <w:t xml:space="preserve"> musí respektovat stanovené obchodní podmínky a v žádné části nesmí obsahovat ustanovení, které by bylo v rozporu s obchodními podmínkami a které by znevýhodňovalo zadavatele.</w:t>
      </w:r>
    </w:p>
    <w:p w:rsidR="000613C3" w:rsidRDefault="000613C3" w:rsidP="003D32D3">
      <w:pPr>
        <w:pStyle w:val="Nadpis2"/>
        <w:spacing w:before="240" w:after="240"/>
        <w:ind w:left="1418" w:hanging="709"/>
      </w:pPr>
      <w:bookmarkStart w:id="8" w:name="_Toc525067493"/>
      <w:r>
        <w:t>Vyjasnění obsahu obchodních podmínek</w:t>
      </w:r>
      <w:bookmarkEnd w:id="8"/>
    </w:p>
    <w:p w:rsidR="00A96F28" w:rsidRPr="00A11B59" w:rsidRDefault="00A96F28" w:rsidP="003D32D3">
      <w:pPr>
        <w:spacing w:before="240" w:after="240"/>
        <w:ind w:left="1416"/>
      </w:pPr>
      <w:r w:rsidRPr="00A11B59">
        <w:t xml:space="preserve">V případě nejasnosti v obsahu obchodních podmínek má </w:t>
      </w:r>
      <w:r w:rsidR="00B045E4">
        <w:t>dodavatel</w:t>
      </w:r>
      <w:r w:rsidRPr="00A11B59">
        <w:t xml:space="preserve"> možnost si případné nejasnosti vyjasnit ještě v průběhu lhůty pro podání nabídek způsobem a ve lhůtě dle § </w:t>
      </w:r>
      <w:r w:rsidR="00A11B59">
        <w:t>98</w:t>
      </w:r>
      <w:r w:rsidRPr="00A11B59">
        <w:t xml:space="preserve"> zákona č. 13</w:t>
      </w:r>
      <w:r w:rsidR="00B045E4" w:rsidRPr="00A11B59">
        <w:t>4</w:t>
      </w:r>
      <w:r w:rsidRPr="00A11B59">
        <w:t>/20</w:t>
      </w:r>
      <w:r w:rsidR="00B045E4" w:rsidRPr="00A11B59">
        <w:t>1</w:t>
      </w:r>
      <w:r w:rsidRPr="00A11B59">
        <w:t>6 Sb.</w:t>
      </w:r>
    </w:p>
    <w:p w:rsidR="000613C3" w:rsidRPr="003D32D3" w:rsidRDefault="000613C3" w:rsidP="003D32D3">
      <w:pPr>
        <w:pStyle w:val="Nadpis2"/>
        <w:spacing w:before="240" w:after="240"/>
        <w:ind w:left="1418" w:hanging="709"/>
      </w:pPr>
      <w:bookmarkStart w:id="9" w:name="_Toc525067494"/>
      <w:r w:rsidRPr="003D32D3">
        <w:t>Platební podmínky</w:t>
      </w:r>
      <w:bookmarkEnd w:id="9"/>
    </w:p>
    <w:p w:rsidR="00A96F28" w:rsidRPr="00A11B59" w:rsidRDefault="00A96F28" w:rsidP="003D32D3">
      <w:pPr>
        <w:spacing w:before="240" w:after="240"/>
        <w:ind w:left="1416"/>
      </w:pPr>
      <w:r w:rsidRPr="00A11B59">
        <w:t>Fakturace bude prováděna na základě skutečné hmotnosti dovezeného odpadu 1 × za 30 dnů, splatnost faktury bude 30 dnů.</w:t>
      </w:r>
    </w:p>
    <w:p w:rsidR="00A96F28" w:rsidRPr="00A11B59" w:rsidRDefault="00A96F28" w:rsidP="003D32D3">
      <w:pPr>
        <w:spacing w:before="240" w:after="240"/>
        <w:ind w:left="1416"/>
      </w:pPr>
      <w:r w:rsidRPr="00A11B59">
        <w:t>Faktury za služby budou vystaveny zhotovitelem a zaslány na adresu: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495"/>
      </w:tblGrid>
      <w:tr w:rsidR="00190E26" w:rsidRPr="000403B5" w:rsidTr="003D32D3">
        <w:trPr>
          <w:trHeight w:val="397"/>
        </w:trPr>
        <w:tc>
          <w:tcPr>
            <w:tcW w:w="7763" w:type="dxa"/>
            <w:gridSpan w:val="2"/>
            <w:shd w:val="clear" w:color="auto" w:fill="auto"/>
            <w:vAlign w:val="center"/>
          </w:tcPr>
          <w:p w:rsidR="00190E26" w:rsidRPr="000403B5" w:rsidRDefault="000403B5" w:rsidP="000E391A">
            <w:pPr>
              <w:pStyle w:val="NormlnIMP"/>
              <w:spacing w:line="240" w:lineRule="auto"/>
              <w:jc w:val="left"/>
              <w:rPr>
                <w:rFonts w:cs="Arial"/>
                <w:bCs/>
              </w:rPr>
            </w:pPr>
            <w:r w:rsidRPr="000403B5">
              <w:rPr>
                <w:rFonts w:cs="Arial"/>
                <w:bCs/>
              </w:rPr>
              <w:t xml:space="preserve">Město Dvůr </w:t>
            </w:r>
            <w:r w:rsidRPr="000403B5">
              <w:rPr>
                <w:rFonts w:cs="Arial"/>
                <w:bCs/>
                <w:smallCaps/>
              </w:rPr>
              <w:t>K</w:t>
            </w:r>
            <w:r w:rsidRPr="000403B5">
              <w:rPr>
                <w:rFonts w:cs="Arial"/>
                <w:bCs/>
              </w:rPr>
              <w:t>rálové nad Labem</w:t>
            </w:r>
          </w:p>
        </w:tc>
      </w:tr>
      <w:tr w:rsidR="00190E26" w:rsidRPr="000403B5" w:rsidTr="003D32D3">
        <w:trPr>
          <w:trHeight w:val="397"/>
        </w:trPr>
        <w:tc>
          <w:tcPr>
            <w:tcW w:w="7763" w:type="dxa"/>
            <w:gridSpan w:val="2"/>
            <w:shd w:val="clear" w:color="auto" w:fill="auto"/>
            <w:vAlign w:val="center"/>
          </w:tcPr>
          <w:p w:rsidR="00190E26" w:rsidRPr="000403B5" w:rsidRDefault="000403B5" w:rsidP="009B0631">
            <w:pPr>
              <w:pStyle w:val="NormlnIMP"/>
              <w:spacing w:line="240" w:lineRule="auto"/>
              <w:jc w:val="left"/>
              <w:rPr>
                <w:rFonts w:cs="Arial"/>
                <w:bCs/>
              </w:rPr>
            </w:pPr>
            <w:r w:rsidRPr="000403B5">
              <w:rPr>
                <w:rFonts w:cs="Arial"/>
                <w:bCs/>
              </w:rPr>
              <w:t>Náměstí T. G. Masaryka 38, 544 17 Dvůr králové nad Labem</w:t>
            </w:r>
          </w:p>
        </w:tc>
      </w:tr>
      <w:tr w:rsidR="00190E26" w:rsidRPr="000403B5" w:rsidTr="003D32D3">
        <w:trPr>
          <w:trHeight w:val="397"/>
        </w:trPr>
        <w:tc>
          <w:tcPr>
            <w:tcW w:w="7763" w:type="dxa"/>
            <w:gridSpan w:val="2"/>
            <w:shd w:val="clear" w:color="auto" w:fill="auto"/>
            <w:vAlign w:val="center"/>
          </w:tcPr>
          <w:p w:rsidR="00190E26" w:rsidRPr="000403B5" w:rsidRDefault="00190E26" w:rsidP="009B0631">
            <w:pPr>
              <w:pStyle w:val="NormlnIMP"/>
              <w:spacing w:line="240" w:lineRule="auto"/>
              <w:jc w:val="left"/>
              <w:rPr>
                <w:rFonts w:cs="Arial"/>
                <w:bCs/>
              </w:rPr>
            </w:pPr>
            <w:r w:rsidRPr="000403B5">
              <w:rPr>
                <w:rFonts w:cs="Arial"/>
                <w:bCs/>
              </w:rPr>
              <w:t>544 01 Dvůr Králové n. L.</w:t>
            </w:r>
          </w:p>
        </w:tc>
      </w:tr>
      <w:tr w:rsidR="00190E26" w:rsidRPr="000403B5" w:rsidTr="003D32D3">
        <w:trPr>
          <w:trHeight w:val="397"/>
        </w:trPr>
        <w:tc>
          <w:tcPr>
            <w:tcW w:w="7763" w:type="dxa"/>
            <w:gridSpan w:val="2"/>
            <w:shd w:val="clear" w:color="auto" w:fill="auto"/>
            <w:vAlign w:val="center"/>
          </w:tcPr>
          <w:p w:rsidR="00190E26" w:rsidRPr="000403B5" w:rsidRDefault="00190E26" w:rsidP="000403B5">
            <w:pPr>
              <w:pStyle w:val="NormlnIMP"/>
              <w:spacing w:line="240" w:lineRule="auto"/>
              <w:jc w:val="left"/>
              <w:rPr>
                <w:rFonts w:cs="Arial"/>
                <w:bCs/>
              </w:rPr>
            </w:pPr>
            <w:r w:rsidRPr="000403B5">
              <w:rPr>
                <w:rFonts w:cs="Arial"/>
                <w:bCs/>
              </w:rPr>
              <w:t xml:space="preserve">zastoupené Ing. </w:t>
            </w:r>
            <w:r w:rsidR="000403B5" w:rsidRPr="000403B5">
              <w:rPr>
                <w:rFonts w:cs="Arial"/>
                <w:bCs/>
              </w:rPr>
              <w:t>Janem Jarolímem</w:t>
            </w:r>
            <w:r w:rsidRPr="000403B5">
              <w:rPr>
                <w:rFonts w:cs="Arial"/>
                <w:bCs/>
              </w:rPr>
              <w:t xml:space="preserve">, </w:t>
            </w:r>
            <w:r w:rsidR="000403B5" w:rsidRPr="000403B5">
              <w:rPr>
                <w:rFonts w:cs="Arial"/>
                <w:bCs/>
              </w:rPr>
              <w:t>starostou města</w:t>
            </w:r>
          </w:p>
        </w:tc>
      </w:tr>
      <w:tr w:rsidR="000403B5" w:rsidRPr="000403B5" w:rsidTr="003D32D3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A96F28" w:rsidRPr="000403B5" w:rsidRDefault="00A96F28" w:rsidP="009B0631">
            <w:pPr>
              <w:pStyle w:val="NormlnIMP"/>
              <w:spacing w:line="240" w:lineRule="auto"/>
              <w:jc w:val="left"/>
              <w:rPr>
                <w:rFonts w:cs="Arial"/>
                <w:bCs/>
              </w:rPr>
            </w:pPr>
            <w:r w:rsidRPr="000403B5">
              <w:rPr>
                <w:rFonts w:cs="Arial"/>
                <w:bCs/>
              </w:rPr>
              <w:t>Bankovní spojení: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A96F28" w:rsidRPr="000403B5" w:rsidRDefault="00A96F28" w:rsidP="000403B5">
            <w:pPr>
              <w:pStyle w:val="NormlnIMP"/>
              <w:spacing w:line="240" w:lineRule="auto"/>
              <w:rPr>
                <w:rFonts w:cs="Arial"/>
                <w:bCs/>
              </w:rPr>
            </w:pPr>
            <w:r w:rsidRPr="000403B5">
              <w:rPr>
                <w:rFonts w:cs="Arial"/>
                <w:bCs/>
              </w:rPr>
              <w:t>ČSOB, a.s.</w:t>
            </w:r>
            <w:r w:rsidR="00190E26" w:rsidRPr="000403B5">
              <w:rPr>
                <w:rFonts w:cs="Arial"/>
                <w:bCs/>
              </w:rPr>
              <w:t>,</w:t>
            </w:r>
            <w:r w:rsidRPr="000403B5">
              <w:rPr>
                <w:rFonts w:cs="Arial"/>
                <w:bCs/>
              </w:rPr>
              <w:t xml:space="preserve"> Dvůr Králové n. L</w:t>
            </w:r>
            <w:r w:rsidR="009373A0" w:rsidRPr="000403B5">
              <w:rPr>
                <w:rFonts w:cs="Arial"/>
                <w:bCs/>
              </w:rPr>
              <w:t xml:space="preserve">., č. </w:t>
            </w:r>
            <w:proofErr w:type="spellStart"/>
            <w:r w:rsidR="009373A0" w:rsidRPr="000403B5">
              <w:rPr>
                <w:rFonts w:cs="Arial"/>
                <w:bCs/>
              </w:rPr>
              <w:t>ú.</w:t>
            </w:r>
            <w:proofErr w:type="spellEnd"/>
            <w:r w:rsidR="009373A0" w:rsidRPr="000403B5">
              <w:rPr>
                <w:rFonts w:cs="Arial"/>
                <w:bCs/>
              </w:rPr>
              <w:t xml:space="preserve"> </w:t>
            </w:r>
            <w:r w:rsidR="000403B5" w:rsidRPr="000403B5">
              <w:rPr>
                <w:rFonts w:cs="Arial"/>
                <w:bCs/>
              </w:rPr>
              <w:t>187589301/0300</w:t>
            </w:r>
          </w:p>
        </w:tc>
      </w:tr>
      <w:tr w:rsidR="000403B5" w:rsidRPr="000403B5" w:rsidTr="003D32D3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0403B5" w:rsidRPr="000403B5" w:rsidRDefault="000403B5" w:rsidP="009373A0">
            <w:pPr>
              <w:pStyle w:val="NormlnIMP"/>
              <w:spacing w:line="240" w:lineRule="auto"/>
              <w:jc w:val="left"/>
              <w:rPr>
                <w:rFonts w:cs="Arial"/>
                <w:bCs/>
              </w:rPr>
            </w:pPr>
            <w:r w:rsidRPr="000403B5">
              <w:rPr>
                <w:rFonts w:cs="Arial"/>
                <w:bCs/>
              </w:rPr>
              <w:t xml:space="preserve">IČO: 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0403B5" w:rsidRPr="000403B5" w:rsidRDefault="000403B5" w:rsidP="00FD3742">
            <w:pPr>
              <w:spacing w:line="240" w:lineRule="auto"/>
            </w:pPr>
            <w:r w:rsidRPr="000403B5">
              <w:t>00277819</w:t>
            </w:r>
          </w:p>
        </w:tc>
      </w:tr>
      <w:tr w:rsidR="000403B5" w:rsidRPr="000403B5" w:rsidTr="003D32D3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0403B5" w:rsidRPr="000403B5" w:rsidRDefault="000403B5" w:rsidP="009373A0">
            <w:pPr>
              <w:pStyle w:val="NormlnIMP"/>
              <w:spacing w:line="240" w:lineRule="auto"/>
              <w:jc w:val="left"/>
              <w:rPr>
                <w:rFonts w:cs="Arial"/>
                <w:bCs/>
              </w:rPr>
            </w:pPr>
            <w:r w:rsidRPr="000403B5">
              <w:rPr>
                <w:rFonts w:cs="Arial"/>
                <w:bCs/>
              </w:rPr>
              <w:t xml:space="preserve">DIČ: 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0403B5" w:rsidRPr="000403B5" w:rsidRDefault="000403B5" w:rsidP="00FD3742">
            <w:pPr>
              <w:spacing w:line="240" w:lineRule="auto"/>
            </w:pPr>
            <w:r w:rsidRPr="000403B5">
              <w:t>CZ00277819</w:t>
            </w:r>
          </w:p>
        </w:tc>
      </w:tr>
    </w:tbl>
    <w:p w:rsidR="00E22A10" w:rsidRPr="00A11B59" w:rsidRDefault="00E22A10" w:rsidP="003D32D3">
      <w:pPr>
        <w:pStyle w:val="Nadpis2"/>
        <w:spacing w:before="240" w:after="240"/>
        <w:ind w:left="1418" w:hanging="709"/>
      </w:pPr>
      <w:bookmarkStart w:id="10" w:name="_Toc525067495"/>
      <w:r w:rsidRPr="00A11B59">
        <w:t>Podmínky, za nichž je možno překročit nabídkovou cenu</w:t>
      </w:r>
      <w:bookmarkEnd w:id="10"/>
    </w:p>
    <w:p w:rsidR="00E22A10" w:rsidRPr="003D32D3" w:rsidRDefault="00E22A10" w:rsidP="003D32D3">
      <w:pPr>
        <w:spacing w:before="240" w:after="240"/>
        <w:ind w:left="1416"/>
      </w:pPr>
      <w:r w:rsidRPr="003D32D3">
        <w:t>Nabídková cena může být překročena pouze v případě změny sazby DPH nebo některého jiného výše uvedeného zákonem stanoveného poplatku (např. základního poplatku za ukládání odpadů).</w:t>
      </w:r>
    </w:p>
    <w:p w:rsidR="00B359AC" w:rsidRDefault="00B359AC" w:rsidP="00726941">
      <w:pPr>
        <w:pStyle w:val="Nadpis1"/>
      </w:pPr>
      <w:bookmarkStart w:id="11" w:name="_Toc525067496"/>
      <w:r w:rsidRPr="006B37B9">
        <w:t>Technické podmínky</w:t>
      </w:r>
      <w:bookmarkEnd w:id="11"/>
    </w:p>
    <w:p w:rsidR="0009392F" w:rsidRPr="00BF36BE" w:rsidRDefault="0009392F" w:rsidP="003D32D3">
      <w:pPr>
        <w:spacing w:before="240" w:after="240"/>
        <w:ind w:left="708"/>
      </w:pPr>
      <w:r w:rsidRPr="00ED00BE">
        <w:t xml:space="preserve">Požadovaná kapacita překladiště je </w:t>
      </w:r>
      <w:r>
        <w:t>minimálně</w:t>
      </w:r>
      <w:r w:rsidRPr="00ED00BE">
        <w:t xml:space="preserve"> 90 m</w:t>
      </w:r>
      <w:r w:rsidRPr="00A11B59">
        <w:rPr>
          <w:vertAlign w:val="superscript"/>
        </w:rPr>
        <w:t>3</w:t>
      </w:r>
      <w:r>
        <w:t xml:space="preserve">. Překladiště musí být zabezpečeno tak, aby nemohlo docházet k úletům odpadu mimo areál překladiště. </w:t>
      </w:r>
      <w:r w:rsidRPr="00ED00BE">
        <w:t xml:space="preserve"> Odpad musí být odvážen dle požadavků Technických služeb </w:t>
      </w:r>
      <w:r w:rsidR="000E391A" w:rsidRPr="00ED00BE">
        <w:t>města</w:t>
      </w:r>
      <w:r w:rsidR="000E391A">
        <w:t xml:space="preserve"> Dvora Králové nad Labem</w:t>
      </w:r>
      <w:r w:rsidRPr="00ED00BE">
        <w:t xml:space="preserve"> min. 1 </w:t>
      </w:r>
      <w:r w:rsidRPr="00A11B59">
        <w:t>×</w:t>
      </w:r>
      <w:r w:rsidRPr="00ED00BE">
        <w:t xml:space="preserve"> denně v pracovních dnec</w:t>
      </w:r>
      <w:r>
        <w:t xml:space="preserve">h a o st. </w:t>
      </w:r>
      <w:r w:rsidRPr="00BF36BE">
        <w:t>svátcích (kromě 1.1.)</w:t>
      </w:r>
    </w:p>
    <w:p w:rsidR="0009392F" w:rsidRDefault="0009392F" w:rsidP="003D32D3">
      <w:pPr>
        <w:spacing w:before="240" w:after="240"/>
        <w:ind w:left="708"/>
      </w:pPr>
      <w:r w:rsidRPr="00BF36BE">
        <w:t xml:space="preserve">Překládací stanici (překladiště) na výše uvedené druhy odpadů na území města Dvůr Králové n. L. si každý </w:t>
      </w:r>
      <w:r w:rsidR="00B045E4">
        <w:t>dodavatel</w:t>
      </w:r>
      <w:r w:rsidRPr="00BF36BE">
        <w:t xml:space="preserve"> zajišťuje sám na vlastní náklady. Pozemek pro vybudování překladiště si také každý </w:t>
      </w:r>
      <w:r w:rsidR="00B045E4">
        <w:t>dodavatel</w:t>
      </w:r>
      <w:r w:rsidR="00B045E4" w:rsidRPr="00BF36BE">
        <w:t xml:space="preserve"> </w:t>
      </w:r>
      <w:r w:rsidRPr="00BF36BE">
        <w:t>zajišťuje sám na vlastní náklady.</w:t>
      </w:r>
    </w:p>
    <w:p w:rsidR="0009392F" w:rsidRDefault="0009392F" w:rsidP="003D32D3">
      <w:pPr>
        <w:spacing w:before="240" w:after="240"/>
        <w:ind w:left="708"/>
      </w:pPr>
      <w:r w:rsidRPr="00BF36BE">
        <w:t>Město organizuje 2</w:t>
      </w:r>
      <w:r>
        <w:t xml:space="preserve"> </w:t>
      </w:r>
      <w:r w:rsidRPr="00A11B59">
        <w:t>×</w:t>
      </w:r>
      <w:r w:rsidRPr="00BF36BE">
        <w:t xml:space="preserve"> ročně čtyřdenní mobilní svozy objemných odpadů. V těchto dnech musí být odpad z překladiště odvážen cca 4</w:t>
      </w:r>
      <w:r>
        <w:t xml:space="preserve"> </w:t>
      </w:r>
      <w:r w:rsidRPr="00A11B59">
        <w:t>×</w:t>
      </w:r>
      <w:r w:rsidRPr="00BF36BE">
        <w:t xml:space="preserve"> denně (o termínech mobilních svozů budou Technické služby města </w:t>
      </w:r>
      <w:r>
        <w:t>Dv</w:t>
      </w:r>
      <w:r w:rsidR="00E3709B">
        <w:t>ora</w:t>
      </w:r>
      <w:r>
        <w:t xml:space="preserve"> Králové nad Labem </w:t>
      </w:r>
      <w:r w:rsidRPr="00BF36BE">
        <w:t xml:space="preserve">informovat zhotovitele min. 7 dní před zahájením svozů). Pokud bude kapacita překladiště nižší, je nutno řešit vyšší frekvencí </w:t>
      </w:r>
      <w:r w:rsidRPr="00BF36BE">
        <w:lastRenderedPageBreak/>
        <w:t>odvozu, tak aby nedocházelo k prostojům vozidel Technických služeb města</w:t>
      </w:r>
      <w:r w:rsidR="00E3709B">
        <w:t xml:space="preserve"> Dvora Králové nad Labem</w:t>
      </w:r>
      <w:r w:rsidRPr="00BF36BE">
        <w:t>.</w:t>
      </w:r>
    </w:p>
    <w:p w:rsidR="0009392F" w:rsidRPr="00A11B59" w:rsidRDefault="0009392F" w:rsidP="003D32D3">
      <w:pPr>
        <w:spacing w:before="240" w:after="240"/>
        <w:ind w:left="708"/>
      </w:pPr>
      <w:r w:rsidRPr="0036446B">
        <w:t>Požadovaná kapacita nádob na objemný odpad (kód druhu odpadu 200307 dle Katalogu odpadů) na sběrný dvůr je cca 60 m</w:t>
      </w:r>
      <w:r w:rsidRPr="00A11B59">
        <w:rPr>
          <w:vertAlign w:val="superscript"/>
        </w:rPr>
        <w:t>3</w:t>
      </w:r>
      <w:r w:rsidRPr="0036446B">
        <w:t xml:space="preserve"> (2 </w:t>
      </w:r>
      <w:r w:rsidRPr="00A11B59">
        <w:t>×</w:t>
      </w:r>
      <w:r w:rsidRPr="0036446B">
        <w:t xml:space="preserve"> 30 m</w:t>
      </w:r>
      <w:r w:rsidRPr="00A11B59">
        <w:rPr>
          <w:vertAlign w:val="superscript"/>
        </w:rPr>
        <w:t>3</w:t>
      </w:r>
      <w:r w:rsidRPr="0036446B">
        <w:t xml:space="preserve">) s vývozem cca 2 </w:t>
      </w:r>
      <w:r w:rsidRPr="00A11B59">
        <w:t>×</w:t>
      </w:r>
      <w:r w:rsidRPr="0036446B">
        <w:t xml:space="preserve"> týdně (v pondělí mezi 6 a 12 hodinou, ve čtvrtek mezi 6 a </w:t>
      </w:r>
      <w:r w:rsidRPr="00A11B59">
        <w:t>14 hodinou) s podmínkou, že vývoz bude probíhat současně s výměnou nádob.</w:t>
      </w:r>
    </w:p>
    <w:p w:rsidR="0009392F" w:rsidRPr="00A11B59" w:rsidRDefault="0009392F" w:rsidP="003D32D3">
      <w:pPr>
        <w:spacing w:before="240" w:after="240"/>
        <w:ind w:left="708"/>
      </w:pPr>
      <w:r w:rsidRPr="00A11B59">
        <w:t xml:space="preserve">S odpadem musí být nakládáno v souladu s platnou legislativou o odpadovém hospodářství. Jedná se zejména o zákon. </w:t>
      </w:r>
      <w:proofErr w:type="gramStart"/>
      <w:r w:rsidRPr="00A11B59">
        <w:t>č.</w:t>
      </w:r>
      <w:proofErr w:type="gramEnd"/>
      <w:r w:rsidRPr="00A11B59">
        <w:t xml:space="preserve"> 185/2001 Sb., o odpadech, ve znění pozdějších předpisů a prováděcími vyhláškami Ministerstva životního prostředí ČR. Úklid celého areálu překladiště zajišťuje </w:t>
      </w:r>
      <w:r w:rsidR="00B045E4">
        <w:t>dodavatel</w:t>
      </w:r>
      <w:r w:rsidRPr="00A11B59">
        <w:t xml:space="preserve"> na vlastní náklady.</w:t>
      </w:r>
    </w:p>
    <w:p w:rsidR="0009392F" w:rsidRPr="00A11B59" w:rsidRDefault="0009392F" w:rsidP="003D32D3">
      <w:pPr>
        <w:spacing w:before="240" w:after="240"/>
        <w:ind w:left="708"/>
      </w:pPr>
      <w:r w:rsidRPr="00A11B59">
        <w:t>Svoz odpadů na překladiště bude prováděn prostřednictvím Technických s</w:t>
      </w:r>
      <w:r w:rsidR="00E3709B" w:rsidRPr="00A11B59">
        <w:t>lužeb města Dvora</w:t>
      </w:r>
      <w:r w:rsidRPr="00A11B59">
        <w:t xml:space="preserve"> Králové n</w:t>
      </w:r>
      <w:r w:rsidR="00E3709B" w:rsidRPr="00A11B59">
        <w:t>ad</w:t>
      </w:r>
      <w:r w:rsidRPr="00A11B59">
        <w:t xml:space="preserve"> L</w:t>
      </w:r>
      <w:r w:rsidR="00E3709B" w:rsidRPr="00A11B59">
        <w:t>abem</w:t>
      </w:r>
      <w:r w:rsidRPr="00A11B59">
        <w:t>.</w:t>
      </w:r>
    </w:p>
    <w:p w:rsidR="00E40E69" w:rsidRPr="00E40E69" w:rsidRDefault="00E40E69" w:rsidP="003D32D3">
      <w:pPr>
        <w:spacing w:before="240" w:after="240"/>
        <w:ind w:left="708"/>
        <w:rPr>
          <w:szCs w:val="20"/>
        </w:rPr>
      </w:pPr>
      <w:r w:rsidRPr="00A11B59">
        <w:t>Na překladiště bývá prostřednictv</w:t>
      </w:r>
      <w:r w:rsidR="00E3709B" w:rsidRPr="00A11B59">
        <w:t>ím Technických služeb města Dvora</w:t>
      </w:r>
      <w:r w:rsidRPr="00A11B59">
        <w:t xml:space="preserve"> Králové nad Labem svezeno cca 3</w:t>
      </w:r>
      <w:r w:rsidR="00A11B59">
        <w:t xml:space="preserve"> </w:t>
      </w:r>
      <w:r w:rsidRPr="00A11B59">
        <w:t>000 až 4</w:t>
      </w:r>
      <w:r w:rsidR="00A11B59">
        <w:t xml:space="preserve"> </w:t>
      </w:r>
      <w:r w:rsidRPr="00A11B59">
        <w:t>000 t odpadu za rok, ve sběrném dvoře bývá sebráno cca 500 t odpadu za rok.</w:t>
      </w:r>
      <w:r w:rsidRPr="00E40E69">
        <w:rPr>
          <w:szCs w:val="20"/>
        </w:rPr>
        <w:t xml:space="preserve">  </w:t>
      </w:r>
    </w:p>
    <w:p w:rsidR="00B359AC" w:rsidRDefault="00B359AC" w:rsidP="00726941">
      <w:pPr>
        <w:pStyle w:val="Nadpis1"/>
      </w:pPr>
      <w:bookmarkStart w:id="12" w:name="_Toc525067497"/>
      <w:r w:rsidRPr="006B37B9">
        <w:t>Požadavky na jednotný způsob zpracování nabídkové ceny</w:t>
      </w:r>
      <w:bookmarkEnd w:id="12"/>
    </w:p>
    <w:p w:rsidR="00EF1823" w:rsidRPr="003D32D3" w:rsidRDefault="00B045E4" w:rsidP="003D32D3">
      <w:pPr>
        <w:spacing w:before="240" w:after="240"/>
        <w:ind w:left="708"/>
      </w:pPr>
      <w:r w:rsidRPr="003D32D3">
        <w:t>Dodavatel s</w:t>
      </w:r>
      <w:r w:rsidR="00EF1823" w:rsidRPr="003D32D3">
        <w:t xml:space="preserve">tanoví nabídkovou cenu za celé plnění veřejné zakázky. Nabídková cena bude zahrnovat odstranění odpadu (např. na skládce nebo ve spalovně), manipulaci s odpadem na překladišti, manipulaci s odpadem na sběrném dvoře, pronájem nádob pro objemný odpad na sběrný dvůr, náklady na přepravu odpadu ke konečné likvidaci, finanční rezervu dle zákona č. 185/2001 Sb., </w:t>
      </w:r>
      <w:r w:rsidR="00EF1823" w:rsidRPr="00A11B59">
        <w:t>ve znění pozdějších předpisů</w:t>
      </w:r>
      <w:r w:rsidR="00EF1823" w:rsidRPr="003D32D3">
        <w:t xml:space="preserve"> a základní poplatek dle přílohy č. 6 zákona č. 185/2001 Sb.,</w:t>
      </w:r>
      <w:r w:rsidR="00EF1823" w:rsidRPr="00A11B59">
        <w:t xml:space="preserve"> ve znění pozdějších předpisů</w:t>
      </w:r>
      <w:r w:rsidR="00EF1823" w:rsidRPr="003D32D3">
        <w:t>. Cena bude zpracována v souladu se zadávací dokumentací a bude definována jako cena „nejvýše přípustná“ (maximální) ve smyslu zákona č. 526/90 Sb. o cenách, ve znění pozdějších předpisů</w:t>
      </w:r>
      <w:r w:rsidR="004754BD">
        <w:t xml:space="preserve">; zákona č. </w:t>
      </w:r>
      <w:r w:rsidR="00D64EF6" w:rsidRPr="00A11B59">
        <w:t xml:space="preserve">89/2012 Sb., </w:t>
      </w:r>
      <w:r w:rsidR="004754BD">
        <w:t xml:space="preserve">občanský zákoník, </w:t>
      </w:r>
      <w:r w:rsidR="00D64EF6" w:rsidRPr="003D32D3">
        <w:t>ve znění pozdějších předpisů</w:t>
      </w:r>
      <w:r w:rsidR="004754BD">
        <w:t>;</w:t>
      </w:r>
      <w:r w:rsidR="00EF1823" w:rsidRPr="003D32D3">
        <w:t xml:space="preserve"> zákona č. </w:t>
      </w:r>
      <w:r w:rsidR="00EF1823" w:rsidRPr="00A11B59">
        <w:t>13</w:t>
      </w:r>
      <w:r w:rsidRPr="00A11B59">
        <w:t>4</w:t>
      </w:r>
      <w:r w:rsidR="00EF1823" w:rsidRPr="00A11B59">
        <w:t>/20</w:t>
      </w:r>
      <w:r w:rsidRPr="00A11B59">
        <w:t>1</w:t>
      </w:r>
      <w:r w:rsidR="00EF1823" w:rsidRPr="00A11B59">
        <w:t>6 Sb</w:t>
      </w:r>
      <w:r w:rsidR="00EF1823" w:rsidRPr="003D32D3">
        <w:t>.</w:t>
      </w:r>
    </w:p>
    <w:p w:rsidR="00EF1823" w:rsidRPr="00A11B59" w:rsidRDefault="00EF1823" w:rsidP="003D32D3">
      <w:pPr>
        <w:spacing w:before="240" w:after="240"/>
        <w:ind w:left="708"/>
      </w:pPr>
      <w:r w:rsidRPr="00A11B59">
        <w:t>Nabídková cena při smlouvě uzavřené na roky 201</w:t>
      </w:r>
      <w:r w:rsidR="00B045E4" w:rsidRPr="00A11B59">
        <w:t>9</w:t>
      </w:r>
      <w:r w:rsidRPr="00A11B59">
        <w:t>–20</w:t>
      </w:r>
      <w:r w:rsidR="00B045E4" w:rsidRPr="00A11B59">
        <w:t>2</w:t>
      </w:r>
      <w:r w:rsidRPr="00A11B59">
        <w:t>1 musí být uvedena následovně:</w:t>
      </w:r>
    </w:p>
    <w:p w:rsidR="00EF1823" w:rsidRPr="00A11B59" w:rsidRDefault="00EF1823" w:rsidP="003D32D3">
      <w:pPr>
        <w:spacing w:before="240" w:after="240"/>
        <w:ind w:left="708"/>
      </w:pPr>
      <w:r w:rsidRPr="00A11B59">
        <w:t>Cena v Kč/t převzatého odpadu na překladišti pro rok 201</w:t>
      </w:r>
      <w:r w:rsidR="00B045E4" w:rsidRPr="00A11B59">
        <w:t>9</w:t>
      </w:r>
      <w:r w:rsidRPr="00A11B59">
        <w:t>:</w:t>
      </w:r>
    </w:p>
    <w:tbl>
      <w:tblPr>
        <w:tblW w:w="4577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2811"/>
        <w:gridCol w:w="2812"/>
      </w:tblGrid>
      <w:tr w:rsidR="00EF1823" w:rsidRPr="00ED00BE" w:rsidTr="003D32D3">
        <w:trPr>
          <w:trHeight w:val="340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  <w:r w:rsidRPr="00ED00BE">
              <w:rPr>
                <w:rFonts w:cs="Arial"/>
              </w:rPr>
              <w:t>Kč/t bez DPH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  <w:r w:rsidRPr="00ED00BE">
              <w:rPr>
                <w:rFonts w:cs="Arial"/>
              </w:rPr>
              <w:t>DPH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  <w:r w:rsidRPr="00ED00BE">
              <w:rPr>
                <w:rFonts w:cs="Arial"/>
              </w:rPr>
              <w:t>Kč/t vč. DPH</w:t>
            </w:r>
          </w:p>
        </w:tc>
      </w:tr>
      <w:tr w:rsidR="00EF1823" w:rsidRPr="00ED00BE" w:rsidTr="003D32D3">
        <w:trPr>
          <w:trHeight w:val="340"/>
        </w:trPr>
        <w:tc>
          <w:tcPr>
            <w:tcW w:w="1666" w:type="pct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666" w:type="pct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667" w:type="pct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</w:p>
        </w:tc>
      </w:tr>
    </w:tbl>
    <w:p w:rsidR="00EF1823" w:rsidRPr="004754BD" w:rsidRDefault="00EF1823" w:rsidP="003D32D3">
      <w:pPr>
        <w:spacing w:before="240" w:after="240"/>
        <w:ind w:left="708"/>
      </w:pPr>
      <w:r w:rsidRPr="004754BD">
        <w:t>Cena v Kč/t převzatého objemného odpadu na sběrném dvoře pro rok 201</w:t>
      </w:r>
      <w:r w:rsidR="00B045E4" w:rsidRPr="004754BD">
        <w:t>9</w:t>
      </w:r>
      <w:r w:rsidRPr="004754BD">
        <w:t>:</w:t>
      </w:r>
    </w:p>
    <w:tbl>
      <w:tblPr>
        <w:tblW w:w="4577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2811"/>
        <w:gridCol w:w="2812"/>
      </w:tblGrid>
      <w:tr w:rsidR="00EF1823" w:rsidRPr="00ED00BE" w:rsidTr="003D32D3">
        <w:trPr>
          <w:trHeight w:val="340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  <w:r w:rsidRPr="00ED00BE">
              <w:rPr>
                <w:rFonts w:cs="Arial"/>
              </w:rPr>
              <w:t>Kč/t bez DPH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  <w:r w:rsidRPr="00ED00BE">
              <w:rPr>
                <w:rFonts w:cs="Arial"/>
              </w:rPr>
              <w:t>DPH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  <w:r w:rsidRPr="00ED00BE">
              <w:rPr>
                <w:rFonts w:cs="Arial"/>
              </w:rPr>
              <w:t>Kč/t vč. DPH</w:t>
            </w:r>
          </w:p>
        </w:tc>
      </w:tr>
      <w:tr w:rsidR="00EF1823" w:rsidRPr="00ED00BE" w:rsidTr="003D32D3">
        <w:trPr>
          <w:trHeight w:val="340"/>
        </w:trPr>
        <w:tc>
          <w:tcPr>
            <w:tcW w:w="1666" w:type="pct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666" w:type="pct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667" w:type="pct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</w:p>
        </w:tc>
      </w:tr>
    </w:tbl>
    <w:p w:rsidR="00EF1823" w:rsidRPr="004754BD" w:rsidRDefault="00EF1823" w:rsidP="003D32D3">
      <w:pPr>
        <w:spacing w:before="240" w:after="240"/>
        <w:ind w:left="708"/>
      </w:pPr>
      <w:r w:rsidRPr="004754BD">
        <w:t>Cena v Kč/t převzatého odpadu na překlad</w:t>
      </w:r>
      <w:r w:rsidR="00B045E4" w:rsidRPr="004754BD">
        <w:t>išti pro rok 2020</w:t>
      </w:r>
      <w:r w:rsidRPr="004754BD">
        <w:t>:</w:t>
      </w:r>
    </w:p>
    <w:tbl>
      <w:tblPr>
        <w:tblW w:w="4577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2811"/>
        <w:gridCol w:w="2812"/>
      </w:tblGrid>
      <w:tr w:rsidR="00EF1823" w:rsidRPr="00ED00BE" w:rsidTr="003D32D3">
        <w:trPr>
          <w:trHeight w:val="340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  <w:r w:rsidRPr="00ED00BE">
              <w:rPr>
                <w:rFonts w:cs="Arial"/>
              </w:rPr>
              <w:t>Kč bez DPH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  <w:r w:rsidRPr="00ED00BE">
              <w:rPr>
                <w:rFonts w:cs="Arial"/>
              </w:rPr>
              <w:t>DPH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  <w:r w:rsidRPr="00ED00BE">
              <w:rPr>
                <w:rFonts w:cs="Arial"/>
              </w:rPr>
              <w:t>Kč vč. DPH</w:t>
            </w:r>
          </w:p>
        </w:tc>
      </w:tr>
      <w:tr w:rsidR="00EF1823" w:rsidRPr="00ED00BE" w:rsidTr="003D32D3">
        <w:trPr>
          <w:trHeight w:val="340"/>
        </w:trPr>
        <w:tc>
          <w:tcPr>
            <w:tcW w:w="1666" w:type="pct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666" w:type="pct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667" w:type="pct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</w:p>
        </w:tc>
      </w:tr>
    </w:tbl>
    <w:p w:rsidR="00EF1823" w:rsidRPr="004754BD" w:rsidRDefault="00EF1823" w:rsidP="003D32D3">
      <w:pPr>
        <w:spacing w:before="240" w:after="240"/>
        <w:ind w:left="708"/>
      </w:pPr>
      <w:r w:rsidRPr="004754BD">
        <w:t>Cena v Kč/t převzatého objemného odp</w:t>
      </w:r>
      <w:r w:rsidR="00B045E4" w:rsidRPr="004754BD">
        <w:t>adu na sběrném dvoře pro rok 2020</w:t>
      </w:r>
      <w:r w:rsidRPr="004754BD">
        <w:t>:</w:t>
      </w:r>
    </w:p>
    <w:tbl>
      <w:tblPr>
        <w:tblW w:w="4577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2811"/>
        <w:gridCol w:w="2812"/>
      </w:tblGrid>
      <w:tr w:rsidR="00EF1823" w:rsidRPr="00ED00BE" w:rsidTr="003D32D3">
        <w:trPr>
          <w:trHeight w:val="340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  <w:r w:rsidRPr="00ED00BE">
              <w:rPr>
                <w:rFonts w:cs="Arial"/>
              </w:rPr>
              <w:lastRenderedPageBreak/>
              <w:t>Kč/t bez DPH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  <w:r w:rsidRPr="00ED00BE">
              <w:rPr>
                <w:rFonts w:cs="Arial"/>
              </w:rPr>
              <w:t>DPH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  <w:r w:rsidRPr="00ED00BE">
              <w:rPr>
                <w:rFonts w:cs="Arial"/>
              </w:rPr>
              <w:t>Kč/t vč. DPH</w:t>
            </w:r>
          </w:p>
        </w:tc>
      </w:tr>
      <w:tr w:rsidR="00EF1823" w:rsidRPr="00ED00BE" w:rsidTr="003D32D3">
        <w:trPr>
          <w:trHeight w:val="340"/>
        </w:trPr>
        <w:tc>
          <w:tcPr>
            <w:tcW w:w="1666" w:type="pct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666" w:type="pct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667" w:type="pct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</w:p>
        </w:tc>
      </w:tr>
    </w:tbl>
    <w:p w:rsidR="00EF1823" w:rsidRPr="004754BD" w:rsidRDefault="00EF1823" w:rsidP="003D32D3">
      <w:pPr>
        <w:spacing w:before="240" w:after="240"/>
        <w:ind w:left="708"/>
      </w:pPr>
      <w:r w:rsidRPr="004754BD">
        <w:t>Cena v Kč/t převzatého odpadu na překladišti pro rok 20</w:t>
      </w:r>
      <w:r w:rsidR="00B045E4" w:rsidRPr="004754BD">
        <w:t>2</w:t>
      </w:r>
      <w:r w:rsidRPr="004754BD">
        <w:t>1:</w:t>
      </w:r>
    </w:p>
    <w:tbl>
      <w:tblPr>
        <w:tblW w:w="4577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2811"/>
        <w:gridCol w:w="2812"/>
      </w:tblGrid>
      <w:tr w:rsidR="00EF1823" w:rsidRPr="00ED00BE" w:rsidTr="003D32D3">
        <w:trPr>
          <w:trHeight w:val="340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  <w:r w:rsidRPr="00ED00BE">
              <w:rPr>
                <w:rFonts w:cs="Arial"/>
              </w:rPr>
              <w:t>Kč/t bez DPH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  <w:r w:rsidRPr="00ED00BE">
              <w:rPr>
                <w:rFonts w:cs="Arial"/>
              </w:rPr>
              <w:t>DPH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  <w:r w:rsidRPr="00ED00BE">
              <w:rPr>
                <w:rFonts w:cs="Arial"/>
              </w:rPr>
              <w:t>Kč/t vč. DPH</w:t>
            </w:r>
          </w:p>
        </w:tc>
      </w:tr>
      <w:tr w:rsidR="00EF1823" w:rsidRPr="00ED00BE" w:rsidTr="003D32D3">
        <w:trPr>
          <w:trHeight w:val="340"/>
        </w:trPr>
        <w:tc>
          <w:tcPr>
            <w:tcW w:w="1666" w:type="pct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666" w:type="pct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667" w:type="pct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</w:p>
        </w:tc>
      </w:tr>
    </w:tbl>
    <w:p w:rsidR="00EF1823" w:rsidRPr="00ED00BE" w:rsidRDefault="00EF1823" w:rsidP="003D32D3">
      <w:pPr>
        <w:spacing w:before="240" w:after="240"/>
        <w:ind w:left="708"/>
        <w:rPr>
          <w:rFonts w:cs="Arial"/>
        </w:rPr>
      </w:pPr>
      <w:r w:rsidRPr="004754BD">
        <w:t>Cena v Kč/t převzatého objemného odpadu na sběrném dvoře pro rok 20</w:t>
      </w:r>
      <w:r w:rsidR="00B045E4" w:rsidRPr="004754BD">
        <w:t>2</w:t>
      </w:r>
      <w:r w:rsidRPr="004754BD">
        <w:t>1:</w:t>
      </w:r>
    </w:p>
    <w:tbl>
      <w:tblPr>
        <w:tblW w:w="4577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2811"/>
        <w:gridCol w:w="2812"/>
      </w:tblGrid>
      <w:tr w:rsidR="00EF1823" w:rsidRPr="00ED00BE" w:rsidTr="003D32D3">
        <w:trPr>
          <w:trHeight w:val="340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  <w:r w:rsidRPr="00ED00BE">
              <w:rPr>
                <w:rFonts w:cs="Arial"/>
              </w:rPr>
              <w:t>Kč/t bez DPH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  <w:r w:rsidRPr="00ED00BE">
              <w:rPr>
                <w:rFonts w:cs="Arial"/>
              </w:rPr>
              <w:t>DPH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  <w:r w:rsidRPr="00ED00BE">
              <w:rPr>
                <w:rFonts w:cs="Arial"/>
              </w:rPr>
              <w:t>Kč/t vč. DPH</w:t>
            </w:r>
          </w:p>
        </w:tc>
      </w:tr>
      <w:tr w:rsidR="00EF1823" w:rsidRPr="00ED00BE" w:rsidTr="003D32D3">
        <w:trPr>
          <w:trHeight w:val="340"/>
        </w:trPr>
        <w:tc>
          <w:tcPr>
            <w:tcW w:w="1666" w:type="pct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666" w:type="pct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667" w:type="pct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</w:rPr>
            </w:pPr>
          </w:p>
        </w:tc>
      </w:tr>
    </w:tbl>
    <w:p w:rsidR="00EF1823" w:rsidRPr="004754BD" w:rsidRDefault="00EF1823" w:rsidP="003D32D3">
      <w:pPr>
        <w:spacing w:before="240" w:after="240"/>
        <w:ind w:left="708"/>
        <w:rPr>
          <w:b/>
        </w:rPr>
      </w:pPr>
      <w:r w:rsidRPr="004754BD">
        <w:rPr>
          <w:b/>
        </w:rPr>
        <w:t>Celková cena za splnění veřejné zakázky při předpokládaném množství 10 500 t odpadu z překladiště a 1 500 t odpadu ze sběrného dvora</w:t>
      </w:r>
      <w:r w:rsidR="00B3539A" w:rsidRPr="004754BD">
        <w:rPr>
          <w:b/>
        </w:rPr>
        <w:t xml:space="preserve"> (tj. za období let 201</w:t>
      </w:r>
      <w:r w:rsidR="00B045E4" w:rsidRPr="004754BD">
        <w:rPr>
          <w:b/>
        </w:rPr>
        <w:t>9</w:t>
      </w:r>
      <w:r w:rsidR="00B3539A" w:rsidRPr="004754BD">
        <w:rPr>
          <w:b/>
        </w:rPr>
        <w:t xml:space="preserve"> </w:t>
      </w:r>
      <w:r w:rsidR="00674D74" w:rsidRPr="004754BD">
        <w:rPr>
          <w:b/>
        </w:rPr>
        <w:t>–</w:t>
      </w:r>
      <w:r w:rsidR="00B3539A" w:rsidRPr="004754BD">
        <w:rPr>
          <w:b/>
        </w:rPr>
        <w:t xml:space="preserve"> 20</w:t>
      </w:r>
      <w:r w:rsidR="00B045E4" w:rsidRPr="004754BD">
        <w:rPr>
          <w:b/>
        </w:rPr>
        <w:t>2</w:t>
      </w:r>
      <w:r w:rsidR="00B3539A" w:rsidRPr="004754BD">
        <w:rPr>
          <w:b/>
        </w:rPr>
        <w:t>1)</w:t>
      </w:r>
      <w:r w:rsidRPr="004754BD">
        <w:rPr>
          <w:b/>
        </w:rPr>
        <w:t>:</w:t>
      </w:r>
    </w:p>
    <w:tbl>
      <w:tblPr>
        <w:tblW w:w="4577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2811"/>
        <w:gridCol w:w="2812"/>
      </w:tblGrid>
      <w:tr w:rsidR="00EF1823" w:rsidRPr="00ED00BE" w:rsidTr="003D32D3">
        <w:trPr>
          <w:trHeight w:val="340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  <w:b/>
              </w:rPr>
            </w:pPr>
            <w:r w:rsidRPr="00ED00BE">
              <w:rPr>
                <w:rFonts w:cs="Arial"/>
                <w:b/>
              </w:rPr>
              <w:t>Kč bez DPH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  <w:b/>
              </w:rPr>
            </w:pPr>
            <w:r w:rsidRPr="00ED00BE">
              <w:rPr>
                <w:rFonts w:cs="Arial"/>
                <w:b/>
              </w:rPr>
              <w:t>DPH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  <w:b/>
              </w:rPr>
            </w:pPr>
            <w:r w:rsidRPr="00ED00BE">
              <w:rPr>
                <w:rFonts w:cs="Arial"/>
                <w:b/>
              </w:rPr>
              <w:t>Kč vč. DPH</w:t>
            </w:r>
          </w:p>
        </w:tc>
      </w:tr>
      <w:tr w:rsidR="00EF1823" w:rsidRPr="00ED00BE" w:rsidTr="003D32D3">
        <w:trPr>
          <w:trHeight w:val="340"/>
        </w:trPr>
        <w:tc>
          <w:tcPr>
            <w:tcW w:w="1666" w:type="pct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666" w:type="pct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667" w:type="pct"/>
            <w:vAlign w:val="center"/>
          </w:tcPr>
          <w:p w:rsidR="00EF1823" w:rsidRPr="00ED00BE" w:rsidRDefault="00EF1823" w:rsidP="00EF1823">
            <w:pPr>
              <w:spacing w:line="240" w:lineRule="auto"/>
              <w:jc w:val="left"/>
              <w:rPr>
                <w:rFonts w:cs="Arial"/>
                <w:b/>
              </w:rPr>
            </w:pPr>
          </w:p>
        </w:tc>
      </w:tr>
    </w:tbl>
    <w:p w:rsidR="0094176A" w:rsidRDefault="0094176A" w:rsidP="003D32D3">
      <w:pPr>
        <w:pStyle w:val="Nadpis1"/>
        <w:numPr>
          <w:ilvl w:val="0"/>
          <w:numId w:val="0"/>
        </w:numPr>
        <w:ind w:left="432"/>
      </w:pPr>
    </w:p>
    <w:p w:rsidR="00B359AC" w:rsidRDefault="00B359AC" w:rsidP="00726941">
      <w:pPr>
        <w:pStyle w:val="Nadpis1"/>
      </w:pPr>
      <w:bookmarkStart w:id="13" w:name="_Toc525067498"/>
      <w:r w:rsidRPr="006B37B9">
        <w:t>Podmínky a požadavky na zpracování nabídky</w:t>
      </w:r>
      <w:bookmarkEnd w:id="13"/>
    </w:p>
    <w:p w:rsidR="0094176A" w:rsidRPr="003D32D3" w:rsidRDefault="0094176A" w:rsidP="003D32D3">
      <w:pPr>
        <w:pStyle w:val="Nadpis1"/>
        <w:numPr>
          <w:ilvl w:val="0"/>
          <w:numId w:val="0"/>
        </w:numPr>
        <w:ind w:firstLine="708"/>
        <w:rPr>
          <w:b w:val="0"/>
          <w:bCs w:val="0"/>
          <w:sz w:val="24"/>
          <w:szCs w:val="24"/>
        </w:rPr>
      </w:pPr>
      <w:bookmarkStart w:id="14" w:name="_Toc525067499"/>
      <w:r w:rsidRPr="003D32D3">
        <w:rPr>
          <w:sz w:val="24"/>
          <w:szCs w:val="24"/>
        </w:rPr>
        <w:t>Elektronický</w:t>
      </w:r>
      <w:r w:rsidRPr="003D32D3">
        <w:rPr>
          <w:b w:val="0"/>
          <w:bCs w:val="0"/>
          <w:sz w:val="24"/>
          <w:szCs w:val="24"/>
        </w:rPr>
        <w:t xml:space="preserve"> </w:t>
      </w:r>
      <w:r w:rsidRPr="003D32D3">
        <w:rPr>
          <w:bCs w:val="0"/>
          <w:sz w:val="24"/>
          <w:szCs w:val="24"/>
        </w:rPr>
        <w:t>nástroj</w:t>
      </w:r>
      <w:bookmarkEnd w:id="14"/>
    </w:p>
    <w:p w:rsidR="0094176A" w:rsidRPr="003D32D3" w:rsidRDefault="0094176A" w:rsidP="003D32D3">
      <w:pPr>
        <w:spacing w:before="240" w:after="240"/>
        <w:ind w:left="708"/>
        <w:rPr>
          <w:color w:val="000000" w:themeColor="text1"/>
        </w:rPr>
      </w:pPr>
      <w:r w:rsidRPr="003D32D3">
        <w:rPr>
          <w:color w:val="000000" w:themeColor="text1"/>
        </w:rPr>
        <w:t xml:space="preserve">Tato veřejná zakázka je zadávána elektronicky prostřednictvím certifikovaného elektronického nástroje E-ZAK dostupného na adrese </w:t>
      </w:r>
      <w:r w:rsidR="001C73CE" w:rsidRPr="003D32D3">
        <w:rPr>
          <w:color w:val="000000" w:themeColor="text1"/>
        </w:rPr>
        <w:t>https://zakazky.mudk.cz/.</w:t>
      </w:r>
    </w:p>
    <w:p w:rsidR="0094176A" w:rsidRPr="003D32D3" w:rsidRDefault="0094176A" w:rsidP="003D32D3">
      <w:pPr>
        <w:spacing w:before="240" w:after="240"/>
        <w:ind w:left="708"/>
        <w:rPr>
          <w:color w:val="000000" w:themeColor="text1"/>
        </w:rPr>
      </w:pPr>
      <w:r w:rsidRPr="003D32D3">
        <w:rPr>
          <w:color w:val="000000" w:themeColor="text1"/>
        </w:rPr>
        <w:t>Veškeré úkony včetně podání nabídky může dodavatel provést elektronicky prostřednictvím elektronického nástroje E-ZAK.</w:t>
      </w:r>
      <w:bookmarkStart w:id="15" w:name="_GoBack"/>
      <w:bookmarkEnd w:id="15"/>
    </w:p>
    <w:p w:rsidR="0094176A" w:rsidRPr="003D32D3" w:rsidRDefault="0094176A" w:rsidP="003D32D3">
      <w:pPr>
        <w:spacing w:before="240" w:after="240"/>
        <w:ind w:left="708"/>
        <w:rPr>
          <w:b/>
          <w:bCs/>
          <w:color w:val="000000" w:themeColor="text1"/>
        </w:rPr>
      </w:pPr>
      <w:r w:rsidRPr="003D32D3">
        <w:rPr>
          <w:b/>
          <w:bCs/>
          <w:color w:val="000000" w:themeColor="text1"/>
        </w:rPr>
        <w:t>V případě použití elektronického nástroje E-ZAK musí dodavatel provést registraci v tomto elektronickém nástroji.</w:t>
      </w:r>
    </w:p>
    <w:p w:rsidR="0094176A" w:rsidRPr="003D32D3" w:rsidRDefault="0094176A" w:rsidP="003D32D3">
      <w:pPr>
        <w:spacing w:before="240" w:after="240"/>
        <w:ind w:left="708"/>
        <w:rPr>
          <w:color w:val="000000" w:themeColor="text1"/>
        </w:rPr>
      </w:pPr>
      <w:r w:rsidRPr="003D32D3">
        <w:rPr>
          <w:color w:val="000000" w:themeColor="text1"/>
        </w:rPr>
        <w:t>Veškeré podmínky a informace týkající se použití elektronického nástroje jsou dostupné na adrese</w:t>
      </w:r>
      <w:r w:rsidR="00DB4750" w:rsidRPr="003D32D3">
        <w:rPr>
          <w:color w:val="000000" w:themeColor="text1"/>
        </w:rPr>
        <w:t xml:space="preserve"> https://zakazky.mudk.cz/.</w:t>
      </w:r>
      <w:r w:rsidRPr="003D32D3">
        <w:rPr>
          <w:color w:val="000000" w:themeColor="text1"/>
        </w:rPr>
        <w:t xml:space="preserve"> Dotazy k použití elektronického nástroje mohou dodavatelé zasílat na kontaktní e-mail zástupce zadavatele simek.milan@mudk.cz.</w:t>
      </w:r>
    </w:p>
    <w:p w:rsidR="0094176A" w:rsidRPr="003D32D3" w:rsidRDefault="0094176A" w:rsidP="003D32D3">
      <w:pPr>
        <w:spacing w:before="240" w:after="240"/>
        <w:ind w:left="708"/>
        <w:rPr>
          <w:color w:val="000000" w:themeColor="text1"/>
        </w:rPr>
      </w:pPr>
    </w:p>
    <w:p w:rsidR="000573A3" w:rsidRPr="003D32D3" w:rsidRDefault="000573A3" w:rsidP="003D32D3">
      <w:pPr>
        <w:spacing w:before="240" w:after="240"/>
        <w:ind w:left="708"/>
        <w:rPr>
          <w:b/>
        </w:rPr>
      </w:pPr>
      <w:r w:rsidRPr="003D32D3">
        <w:rPr>
          <w:b/>
        </w:rPr>
        <w:t>Zadavatel poža</w:t>
      </w:r>
      <w:r w:rsidR="00B045E4" w:rsidRPr="003D32D3">
        <w:rPr>
          <w:b/>
        </w:rPr>
        <w:t>duje, aby nabídka všech dodavatel</w:t>
      </w:r>
      <w:r w:rsidR="0094176A" w:rsidRPr="003D32D3">
        <w:rPr>
          <w:b/>
        </w:rPr>
        <w:t>ů</w:t>
      </w:r>
      <w:r w:rsidRPr="003D32D3">
        <w:rPr>
          <w:b/>
        </w:rPr>
        <w:t xml:space="preserve"> (z důvodu snadného porovnání a pro potřeby vyhodnocení) byla členěna shodným způsobem a aby obsahovala tyto složky (kapitoly):</w:t>
      </w:r>
    </w:p>
    <w:p w:rsidR="000573A3" w:rsidRPr="003D32D3" w:rsidRDefault="000573A3" w:rsidP="003D32D3">
      <w:pPr>
        <w:pStyle w:val="NormlnIMP"/>
        <w:numPr>
          <w:ilvl w:val="0"/>
          <w:numId w:val="36"/>
        </w:numPr>
        <w:spacing w:before="120" w:after="120"/>
        <w:ind w:left="1429"/>
        <w:rPr>
          <w:rFonts w:cs="Arial"/>
          <w:b/>
          <w:iCs/>
        </w:rPr>
      </w:pPr>
      <w:r w:rsidRPr="003D32D3">
        <w:rPr>
          <w:rFonts w:cs="Arial"/>
          <w:b/>
          <w:iCs/>
        </w:rPr>
        <w:t>OBSAH NABÍDKY</w:t>
      </w:r>
    </w:p>
    <w:p w:rsidR="00C3221C" w:rsidRDefault="000573A3" w:rsidP="003D32D3">
      <w:pPr>
        <w:pStyle w:val="NormlnIMP"/>
        <w:spacing w:before="120" w:after="120"/>
        <w:ind w:left="1429"/>
        <w:rPr>
          <w:rFonts w:cs="Arial"/>
          <w:color w:val="000000"/>
        </w:rPr>
      </w:pPr>
      <w:r w:rsidRPr="000573A3">
        <w:rPr>
          <w:rFonts w:cs="Arial"/>
          <w:color w:val="000000"/>
        </w:rPr>
        <w:t>Nabídka bude opatřena obsahem s uvedením čísel stránek u jednotlivých oddílů (kapitol)</w:t>
      </w:r>
      <w:r w:rsidR="00B3539A">
        <w:rPr>
          <w:rFonts w:cs="Arial"/>
          <w:color w:val="000000"/>
        </w:rPr>
        <w:t>.</w:t>
      </w:r>
    </w:p>
    <w:p w:rsidR="00C3221C" w:rsidRPr="003D32D3" w:rsidRDefault="00C3221C" w:rsidP="003D32D3">
      <w:pPr>
        <w:pStyle w:val="NormlnIMP"/>
        <w:numPr>
          <w:ilvl w:val="0"/>
          <w:numId w:val="36"/>
        </w:numPr>
        <w:spacing w:before="120" w:after="120"/>
        <w:ind w:left="1429"/>
        <w:rPr>
          <w:rFonts w:cs="Arial"/>
          <w:b/>
          <w:iCs/>
        </w:rPr>
      </w:pPr>
      <w:r w:rsidRPr="003D32D3">
        <w:rPr>
          <w:rFonts w:cs="Arial"/>
          <w:b/>
          <w:iCs/>
        </w:rPr>
        <w:t>KRYCÍ LIST NABÍDKY</w:t>
      </w:r>
    </w:p>
    <w:p w:rsidR="000573A3" w:rsidRPr="003D32D3" w:rsidRDefault="004754BD" w:rsidP="003D32D3">
      <w:pPr>
        <w:pStyle w:val="NormlnIMP"/>
        <w:numPr>
          <w:ilvl w:val="0"/>
          <w:numId w:val="36"/>
        </w:numPr>
        <w:spacing w:before="120" w:after="120"/>
        <w:ind w:left="1429"/>
        <w:rPr>
          <w:rFonts w:cs="Arial"/>
          <w:b/>
          <w:iCs/>
        </w:rPr>
      </w:pPr>
      <w:r>
        <w:rPr>
          <w:rFonts w:cs="Arial"/>
          <w:b/>
          <w:iCs/>
        </w:rPr>
        <w:t>DOKLADY K PROKÁZÁNÍ KVALIFIKACE</w:t>
      </w:r>
    </w:p>
    <w:p w:rsidR="000573A3" w:rsidRPr="003D32D3" w:rsidRDefault="000573A3" w:rsidP="003D32D3">
      <w:pPr>
        <w:pStyle w:val="NormlnIMP"/>
        <w:numPr>
          <w:ilvl w:val="0"/>
          <w:numId w:val="36"/>
        </w:numPr>
        <w:spacing w:before="120" w:after="120"/>
        <w:ind w:left="1429"/>
        <w:rPr>
          <w:rFonts w:cs="Arial"/>
          <w:b/>
          <w:iCs/>
        </w:rPr>
      </w:pPr>
      <w:r w:rsidRPr="003D32D3">
        <w:rPr>
          <w:rFonts w:cs="Arial"/>
          <w:b/>
          <w:iCs/>
        </w:rPr>
        <w:lastRenderedPageBreak/>
        <w:t>CENOVÁ NABÍDKA</w:t>
      </w:r>
    </w:p>
    <w:p w:rsidR="000573A3" w:rsidRPr="003D32D3" w:rsidRDefault="004754BD" w:rsidP="003D32D3">
      <w:pPr>
        <w:pStyle w:val="NormlnIMP"/>
        <w:numPr>
          <w:ilvl w:val="0"/>
          <w:numId w:val="36"/>
        </w:numPr>
        <w:spacing w:before="120" w:after="120"/>
        <w:ind w:left="1429"/>
        <w:rPr>
          <w:rFonts w:cs="Arial"/>
          <w:b/>
          <w:iCs/>
        </w:rPr>
      </w:pPr>
      <w:r>
        <w:rPr>
          <w:rFonts w:cs="Arial"/>
          <w:b/>
          <w:iCs/>
        </w:rPr>
        <w:t>INFORMACE O PŘEKLADIŠTÍ</w:t>
      </w:r>
    </w:p>
    <w:p w:rsidR="000573A3" w:rsidRPr="000573A3" w:rsidRDefault="000573A3" w:rsidP="003D32D3">
      <w:pPr>
        <w:pStyle w:val="Zkladntext"/>
        <w:numPr>
          <w:ilvl w:val="0"/>
          <w:numId w:val="38"/>
        </w:numPr>
        <w:rPr>
          <w:szCs w:val="20"/>
        </w:rPr>
      </w:pPr>
      <w:r w:rsidRPr="000573A3">
        <w:rPr>
          <w:szCs w:val="20"/>
        </w:rPr>
        <w:t xml:space="preserve">Popis překladiště na území města Dvůr Králové n. L. zřízeného na náklady </w:t>
      </w:r>
      <w:r w:rsidR="00B045E4">
        <w:t>dodavatele</w:t>
      </w:r>
      <w:r w:rsidRPr="000573A3">
        <w:rPr>
          <w:szCs w:val="20"/>
        </w:rPr>
        <w:t xml:space="preserve"> s uvedením způsobu překládky (jáma, kontejnery apod.) vč. možnosti překládání objemného odpadu</w:t>
      </w:r>
      <w:r w:rsidR="00B3539A">
        <w:rPr>
          <w:szCs w:val="20"/>
        </w:rPr>
        <w:t>.</w:t>
      </w:r>
    </w:p>
    <w:p w:rsidR="000573A3" w:rsidRPr="004754BD" w:rsidRDefault="000573A3" w:rsidP="003D32D3">
      <w:pPr>
        <w:pStyle w:val="Odstavecseseznamem"/>
        <w:numPr>
          <w:ilvl w:val="0"/>
          <w:numId w:val="38"/>
        </w:numPr>
        <w:rPr>
          <w:rFonts w:cs="Arial"/>
          <w:szCs w:val="20"/>
        </w:rPr>
      </w:pPr>
      <w:r w:rsidRPr="004754BD">
        <w:rPr>
          <w:rFonts w:cs="Arial"/>
          <w:szCs w:val="20"/>
        </w:rPr>
        <w:t>Termín zahájení provozu překladiště</w:t>
      </w:r>
      <w:r w:rsidR="00B3539A" w:rsidRPr="004754BD">
        <w:rPr>
          <w:rFonts w:cs="Arial"/>
          <w:szCs w:val="20"/>
        </w:rPr>
        <w:t>.</w:t>
      </w:r>
    </w:p>
    <w:p w:rsidR="000573A3" w:rsidRPr="004754BD" w:rsidRDefault="000573A3" w:rsidP="003D32D3">
      <w:pPr>
        <w:pStyle w:val="Odstavecseseznamem"/>
        <w:numPr>
          <w:ilvl w:val="0"/>
          <w:numId w:val="38"/>
        </w:numPr>
        <w:rPr>
          <w:rFonts w:cs="Arial"/>
          <w:szCs w:val="20"/>
        </w:rPr>
      </w:pPr>
      <w:r w:rsidRPr="004754BD">
        <w:rPr>
          <w:rFonts w:cs="Arial"/>
          <w:szCs w:val="20"/>
        </w:rPr>
        <w:t>Provozní doba překladiště, jeho kapacita a intervaly odvozu odpadu z</w:t>
      </w:r>
      <w:r w:rsidR="00B3539A" w:rsidRPr="004754BD">
        <w:rPr>
          <w:rFonts w:cs="Arial"/>
          <w:szCs w:val="20"/>
        </w:rPr>
        <w:t> </w:t>
      </w:r>
      <w:r w:rsidRPr="004754BD">
        <w:rPr>
          <w:rFonts w:cs="Arial"/>
          <w:szCs w:val="20"/>
        </w:rPr>
        <w:t>překladiště</w:t>
      </w:r>
      <w:r w:rsidR="00B3539A" w:rsidRPr="004754BD">
        <w:rPr>
          <w:rFonts w:cs="Arial"/>
          <w:szCs w:val="20"/>
        </w:rPr>
        <w:t>.</w:t>
      </w:r>
    </w:p>
    <w:p w:rsidR="000573A3" w:rsidRPr="004754BD" w:rsidRDefault="000573A3" w:rsidP="003D32D3">
      <w:pPr>
        <w:pStyle w:val="Odstavecseseznamem"/>
        <w:numPr>
          <w:ilvl w:val="0"/>
          <w:numId w:val="38"/>
        </w:numPr>
        <w:rPr>
          <w:rFonts w:cs="Arial"/>
          <w:szCs w:val="20"/>
        </w:rPr>
      </w:pPr>
      <w:r w:rsidRPr="004754BD">
        <w:rPr>
          <w:rFonts w:cs="Arial"/>
          <w:szCs w:val="20"/>
        </w:rPr>
        <w:t>Vzdálenost překladiště od centra (náměstí</w:t>
      </w:r>
      <w:r w:rsidR="002B2515" w:rsidRPr="004754BD">
        <w:rPr>
          <w:rFonts w:cs="Arial"/>
          <w:szCs w:val="20"/>
        </w:rPr>
        <w:t xml:space="preserve"> T.</w:t>
      </w:r>
      <w:r w:rsidR="004754BD">
        <w:rPr>
          <w:rFonts w:cs="Arial"/>
          <w:szCs w:val="20"/>
        </w:rPr>
        <w:t xml:space="preserve"> </w:t>
      </w:r>
      <w:r w:rsidR="002B2515" w:rsidRPr="004754BD">
        <w:rPr>
          <w:rFonts w:cs="Arial"/>
          <w:szCs w:val="20"/>
        </w:rPr>
        <w:t>G. Masaryka</w:t>
      </w:r>
      <w:r w:rsidRPr="004754BD">
        <w:rPr>
          <w:rFonts w:cs="Arial"/>
          <w:szCs w:val="20"/>
        </w:rPr>
        <w:t>) města Dvůr Králové n. L.</w:t>
      </w:r>
    </w:p>
    <w:p w:rsidR="000573A3" w:rsidRPr="004754BD" w:rsidRDefault="000573A3" w:rsidP="003D32D3">
      <w:pPr>
        <w:pStyle w:val="Odstavecseseznamem"/>
        <w:numPr>
          <w:ilvl w:val="0"/>
          <w:numId w:val="38"/>
        </w:numPr>
        <w:rPr>
          <w:rFonts w:cs="Arial"/>
          <w:szCs w:val="20"/>
        </w:rPr>
      </w:pPr>
      <w:r w:rsidRPr="004754BD">
        <w:rPr>
          <w:rFonts w:cs="Arial"/>
          <w:szCs w:val="20"/>
        </w:rPr>
        <w:t>Vybavení překladiště (např. počty kontejnerů, zda je překladišti umístěna váha</w:t>
      </w:r>
      <w:r w:rsidR="00674D74" w:rsidRPr="004754BD">
        <w:rPr>
          <w:rFonts w:cs="Arial"/>
          <w:szCs w:val="20"/>
        </w:rPr>
        <w:t>, k dispozici voda</w:t>
      </w:r>
      <w:r w:rsidRPr="004754BD">
        <w:rPr>
          <w:rFonts w:cs="Arial"/>
          <w:szCs w:val="20"/>
        </w:rPr>
        <w:t xml:space="preserve"> či nikoliv)</w:t>
      </w:r>
      <w:r w:rsidR="00B3539A" w:rsidRPr="004754BD">
        <w:rPr>
          <w:rFonts w:cs="Arial"/>
          <w:szCs w:val="20"/>
        </w:rPr>
        <w:t>.</w:t>
      </w:r>
    </w:p>
    <w:p w:rsidR="000573A3" w:rsidRPr="003D32D3" w:rsidRDefault="004754BD" w:rsidP="003D32D3">
      <w:pPr>
        <w:pStyle w:val="NormlnIMP"/>
        <w:numPr>
          <w:ilvl w:val="0"/>
          <w:numId w:val="36"/>
        </w:numPr>
        <w:spacing w:before="120" w:after="120"/>
        <w:ind w:left="1429"/>
        <w:rPr>
          <w:rFonts w:cs="Arial"/>
          <w:b/>
          <w:iCs/>
        </w:rPr>
      </w:pPr>
      <w:r w:rsidRPr="003D32D3">
        <w:rPr>
          <w:rFonts w:cs="Arial"/>
          <w:b/>
        </w:rPr>
        <w:t xml:space="preserve">INFORMACE O </w:t>
      </w:r>
      <w:r w:rsidR="000573A3" w:rsidRPr="003D32D3">
        <w:rPr>
          <w:rFonts w:cs="Arial"/>
          <w:b/>
          <w:iCs/>
        </w:rPr>
        <w:t>VELKOOBJEMOV</w:t>
      </w:r>
      <w:r w:rsidRPr="004754BD">
        <w:rPr>
          <w:rFonts w:cs="Arial"/>
          <w:b/>
          <w:iCs/>
        </w:rPr>
        <w:t>ÝCH</w:t>
      </w:r>
      <w:r w:rsidR="000573A3" w:rsidRPr="003D32D3">
        <w:rPr>
          <w:rFonts w:cs="Arial"/>
          <w:b/>
          <w:iCs/>
        </w:rPr>
        <w:t xml:space="preserve"> NÁDOB</w:t>
      </w:r>
      <w:r w:rsidRPr="004754BD">
        <w:rPr>
          <w:rFonts w:cs="Arial"/>
          <w:b/>
          <w:iCs/>
        </w:rPr>
        <w:t>ÁCH</w:t>
      </w:r>
      <w:r w:rsidR="000573A3" w:rsidRPr="003D32D3">
        <w:rPr>
          <w:rFonts w:cs="Arial"/>
          <w:b/>
          <w:iCs/>
        </w:rPr>
        <w:t xml:space="preserve"> NA OBJEMNÝ ODPAD PRO SBĚRNÝ DVŮR</w:t>
      </w:r>
    </w:p>
    <w:p w:rsidR="000573A3" w:rsidRPr="003D32D3" w:rsidRDefault="000573A3" w:rsidP="003D32D3">
      <w:pPr>
        <w:pStyle w:val="NormlnIMP"/>
        <w:spacing w:before="120" w:after="120"/>
        <w:ind w:left="1429"/>
        <w:rPr>
          <w:rFonts w:cs="Arial"/>
          <w:color w:val="000000"/>
        </w:rPr>
      </w:pPr>
      <w:r w:rsidRPr="003D32D3">
        <w:rPr>
          <w:rFonts w:cs="Arial"/>
          <w:color w:val="000000"/>
        </w:rPr>
        <w:t>Typ a objem nádob, intervaly odvozu z</w:t>
      </w:r>
      <w:r w:rsidR="00B3539A" w:rsidRPr="003D32D3">
        <w:rPr>
          <w:rFonts w:cs="Arial"/>
          <w:color w:val="000000"/>
        </w:rPr>
        <w:t>e sběrného dvora</w:t>
      </w:r>
      <w:r w:rsidRPr="003D32D3">
        <w:rPr>
          <w:rFonts w:cs="Arial"/>
          <w:color w:val="000000"/>
        </w:rPr>
        <w:t>.</w:t>
      </w:r>
    </w:p>
    <w:p w:rsidR="004754BD" w:rsidRPr="003D32D3" w:rsidRDefault="004754BD" w:rsidP="004754BD">
      <w:pPr>
        <w:pStyle w:val="NormlnIMP"/>
        <w:numPr>
          <w:ilvl w:val="0"/>
          <w:numId w:val="36"/>
        </w:numPr>
        <w:spacing w:before="120" w:after="120"/>
        <w:ind w:left="1429"/>
        <w:rPr>
          <w:rFonts w:cs="Arial"/>
          <w:b/>
          <w:color w:val="000000"/>
        </w:rPr>
      </w:pPr>
      <w:r w:rsidRPr="004754BD">
        <w:rPr>
          <w:rFonts w:cs="Arial"/>
          <w:b/>
          <w:iCs/>
        </w:rPr>
        <w:t>INFORMACE O ZPŮSOBU LIKVIDACE PŘEVZATÉHO KOMUNÁLNÍHO ODPADU</w:t>
      </w:r>
    </w:p>
    <w:p w:rsidR="004754BD" w:rsidRPr="009954D6" w:rsidRDefault="004754BD" w:rsidP="004754BD">
      <w:pPr>
        <w:pStyle w:val="NormlnIMP"/>
        <w:spacing w:before="120" w:after="120"/>
        <w:ind w:left="1429"/>
        <w:rPr>
          <w:rFonts w:cs="Arial"/>
          <w:color w:val="000000"/>
        </w:rPr>
      </w:pPr>
      <w:r w:rsidRPr="009954D6">
        <w:rPr>
          <w:rFonts w:cs="Arial"/>
          <w:color w:val="000000"/>
        </w:rPr>
        <w:t>(skládkování – životnost a zabezpečení skládky, spalování, recyklace apod.)</w:t>
      </w:r>
    </w:p>
    <w:p w:rsidR="004754BD" w:rsidRPr="003D32D3" w:rsidRDefault="004754BD" w:rsidP="003D32D3">
      <w:pPr>
        <w:pStyle w:val="NormlnIMP"/>
        <w:spacing w:before="120" w:after="120"/>
        <w:rPr>
          <w:rFonts w:cs="Arial"/>
          <w:b/>
          <w:iCs/>
        </w:rPr>
      </w:pPr>
    </w:p>
    <w:p w:rsidR="000573A3" w:rsidRPr="003D32D3" w:rsidRDefault="00674D74" w:rsidP="003D32D3">
      <w:pPr>
        <w:pStyle w:val="NormlnIMP"/>
        <w:numPr>
          <w:ilvl w:val="0"/>
          <w:numId w:val="36"/>
        </w:numPr>
        <w:spacing w:before="120" w:after="120"/>
        <w:ind w:left="1429"/>
        <w:rPr>
          <w:rFonts w:cs="Arial"/>
          <w:b/>
          <w:iCs/>
        </w:rPr>
      </w:pPr>
      <w:r w:rsidRPr="003D32D3">
        <w:rPr>
          <w:rFonts w:cs="Arial"/>
          <w:b/>
          <w:iCs/>
        </w:rPr>
        <w:t>DOPLNĚ</w:t>
      </w:r>
      <w:r w:rsidR="004754BD">
        <w:rPr>
          <w:rFonts w:cs="Arial"/>
          <w:b/>
          <w:iCs/>
        </w:rPr>
        <w:t>NÝ NÁVRH SMLOUVY</w:t>
      </w:r>
      <w:r w:rsidRPr="003D32D3">
        <w:rPr>
          <w:rFonts w:cs="Arial"/>
          <w:b/>
          <w:iCs/>
        </w:rPr>
        <w:t xml:space="preserve"> (VIZ PŘÍLOHA)</w:t>
      </w:r>
    </w:p>
    <w:p w:rsidR="000573A3" w:rsidRPr="003D32D3" w:rsidRDefault="000573A3" w:rsidP="003D32D3">
      <w:pPr>
        <w:pStyle w:val="NormlnIMP"/>
        <w:spacing w:before="120" w:after="120"/>
        <w:ind w:left="1429"/>
        <w:rPr>
          <w:rFonts w:cs="Arial"/>
          <w:color w:val="000000"/>
        </w:rPr>
      </w:pPr>
      <w:r w:rsidRPr="003D32D3">
        <w:rPr>
          <w:rFonts w:cs="Arial"/>
          <w:color w:val="000000"/>
        </w:rPr>
        <w:t>Návrh smlouvy musí být podepsaný oprávněnou osobou.</w:t>
      </w:r>
    </w:p>
    <w:p w:rsidR="004754BD" w:rsidRDefault="004754BD" w:rsidP="003D32D3">
      <w:pPr>
        <w:pStyle w:val="NormlnIMP"/>
        <w:numPr>
          <w:ilvl w:val="0"/>
          <w:numId w:val="36"/>
        </w:numPr>
        <w:spacing w:before="120" w:after="120"/>
        <w:ind w:left="1429"/>
        <w:rPr>
          <w:rFonts w:cs="Arial"/>
          <w:color w:val="000000"/>
        </w:rPr>
      </w:pPr>
      <w:r w:rsidRPr="004754BD">
        <w:rPr>
          <w:rFonts w:cs="Arial"/>
          <w:b/>
          <w:iCs/>
        </w:rPr>
        <w:t>INFORMACE O ZPŮSOBU LIKVIDACE PŘEVZATÉHO KOMUNÁLNÍHO ODPADU</w:t>
      </w:r>
    </w:p>
    <w:p w:rsidR="000573A3" w:rsidRPr="003D32D3" w:rsidRDefault="000573A3" w:rsidP="003D32D3">
      <w:pPr>
        <w:pStyle w:val="NormlnIMP"/>
        <w:spacing w:before="120" w:after="120"/>
        <w:ind w:left="1429"/>
        <w:rPr>
          <w:rFonts w:cs="Arial"/>
          <w:color w:val="000000"/>
        </w:rPr>
      </w:pPr>
      <w:r w:rsidRPr="003D32D3">
        <w:rPr>
          <w:rFonts w:cs="Arial"/>
          <w:color w:val="000000"/>
        </w:rPr>
        <w:t>(skládkování – životnost a zabezpečení skládky, spalování, recyklace apod.)</w:t>
      </w:r>
    </w:p>
    <w:p w:rsidR="00E3289A" w:rsidRPr="00E3289A" w:rsidRDefault="00E3289A" w:rsidP="00E3289A">
      <w:pPr>
        <w:ind w:left="708"/>
        <w:rPr>
          <w:szCs w:val="20"/>
        </w:rPr>
      </w:pPr>
      <w:r w:rsidRPr="00E3289A">
        <w:rPr>
          <w:szCs w:val="20"/>
        </w:rPr>
        <w:t>Veškerá komunikace mezi zadavatelem a účastníky bude probíhat písemně, v českém jazyce, prostřednictvím elektronického nástroje E-ZAK.</w:t>
      </w:r>
    </w:p>
    <w:p w:rsidR="00E3289A" w:rsidRPr="00E3289A" w:rsidRDefault="00E3289A" w:rsidP="00E3289A">
      <w:pPr>
        <w:ind w:left="708"/>
        <w:rPr>
          <w:szCs w:val="20"/>
        </w:rPr>
      </w:pPr>
      <w:r w:rsidRPr="00E3289A">
        <w:rPr>
          <w:szCs w:val="20"/>
        </w:rPr>
        <w:t xml:space="preserve">Pro podání nabídky se dodavatel musí registrovat v elektronickém nástroji E-ZAK, postup je uveden v manuálu dodavatele na adrese: </w:t>
      </w:r>
      <w:hyperlink r:id="rId9" w:history="1">
        <w:r w:rsidRPr="00E3289A">
          <w:rPr>
            <w:rStyle w:val="Hypertextovodkaz"/>
            <w:szCs w:val="20"/>
          </w:rPr>
          <w:t>https://zakazky.mudk.cz/manual.html</w:t>
        </w:r>
      </w:hyperlink>
      <w:r w:rsidRPr="00E3289A">
        <w:rPr>
          <w:szCs w:val="20"/>
        </w:rPr>
        <w:t xml:space="preserve">.  </w:t>
      </w:r>
    </w:p>
    <w:p w:rsidR="00E3289A" w:rsidRPr="00E3289A" w:rsidRDefault="00E3289A" w:rsidP="00E3289A">
      <w:pPr>
        <w:ind w:left="708"/>
        <w:rPr>
          <w:szCs w:val="20"/>
        </w:rPr>
      </w:pPr>
      <w:r w:rsidRPr="00E3289A">
        <w:rPr>
          <w:szCs w:val="20"/>
        </w:rPr>
        <w:t>Osoba podávající nabídku za účastníka zadávacího řízení musí být držitelem elektronického podpisu založeného na kvalifikovaném certifikátu.</w:t>
      </w:r>
    </w:p>
    <w:p w:rsidR="00E3289A" w:rsidRPr="003D32D3" w:rsidRDefault="002E5ECD" w:rsidP="003D32D3">
      <w:pPr>
        <w:spacing w:before="240" w:after="240"/>
        <w:ind w:left="708"/>
      </w:pPr>
      <w:r>
        <w:t>Vysokoškolské diplomy lze předkládat v latinském jazyce.</w:t>
      </w:r>
      <w:r w:rsidRPr="003D32D3">
        <w:t xml:space="preserve"> </w:t>
      </w:r>
      <w:r w:rsidR="000573A3" w:rsidRPr="003D32D3">
        <w:t xml:space="preserve">Nabídka nebude obsahovat přepisy a opravy, které by mohly zadavatele uvést v omyl. </w:t>
      </w:r>
    </w:p>
    <w:p w:rsidR="00B359AC" w:rsidRDefault="00B359AC" w:rsidP="00726941">
      <w:pPr>
        <w:pStyle w:val="Nadpis1"/>
      </w:pPr>
      <w:bookmarkStart w:id="16" w:name="_Toc525067500"/>
      <w:r w:rsidRPr="006B37B9">
        <w:t>Způsob hodnocení nabídek podle hodnotících kritérií</w:t>
      </w:r>
      <w:bookmarkEnd w:id="16"/>
    </w:p>
    <w:tbl>
      <w:tblPr>
        <w:tblW w:w="85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710"/>
        <w:gridCol w:w="1271"/>
      </w:tblGrid>
      <w:tr w:rsidR="00E17E87" w:rsidTr="003D32D3">
        <w:trPr>
          <w:trHeight w:val="454"/>
        </w:trPr>
        <w:tc>
          <w:tcPr>
            <w:tcW w:w="567" w:type="dxa"/>
            <w:shd w:val="clear" w:color="auto" w:fill="D9D9D9"/>
            <w:vAlign w:val="center"/>
          </w:tcPr>
          <w:p w:rsidR="00E17E87" w:rsidRDefault="00E17E87" w:rsidP="005B69A8">
            <w:pPr>
              <w:spacing w:line="240" w:lineRule="auto"/>
              <w:jc w:val="center"/>
            </w:pPr>
          </w:p>
        </w:tc>
        <w:tc>
          <w:tcPr>
            <w:tcW w:w="6710" w:type="dxa"/>
            <w:shd w:val="clear" w:color="auto" w:fill="D9D9D9"/>
            <w:vAlign w:val="center"/>
          </w:tcPr>
          <w:p w:rsidR="00E17E87" w:rsidRDefault="00E17E87" w:rsidP="005B69A8">
            <w:pPr>
              <w:spacing w:line="240" w:lineRule="auto"/>
              <w:jc w:val="left"/>
            </w:pPr>
            <w:r>
              <w:t>Dílčí hodnotící kritérium</w:t>
            </w:r>
          </w:p>
        </w:tc>
        <w:tc>
          <w:tcPr>
            <w:tcW w:w="1271" w:type="dxa"/>
            <w:shd w:val="clear" w:color="auto" w:fill="D9D9D9"/>
            <w:vAlign w:val="center"/>
          </w:tcPr>
          <w:p w:rsidR="00E17E87" w:rsidRDefault="00E17E87" w:rsidP="005B69A8">
            <w:pPr>
              <w:spacing w:line="240" w:lineRule="auto"/>
              <w:jc w:val="center"/>
            </w:pPr>
            <w:r>
              <w:t>Váha v %</w:t>
            </w:r>
          </w:p>
        </w:tc>
      </w:tr>
      <w:tr w:rsidR="00E17E87" w:rsidTr="003D32D3">
        <w:trPr>
          <w:trHeight w:val="454"/>
        </w:trPr>
        <w:tc>
          <w:tcPr>
            <w:tcW w:w="567" w:type="dxa"/>
            <w:shd w:val="clear" w:color="auto" w:fill="D9D9D9"/>
            <w:vAlign w:val="center"/>
          </w:tcPr>
          <w:p w:rsidR="00E17E87" w:rsidRDefault="00E17E87" w:rsidP="005B69A8">
            <w:pPr>
              <w:spacing w:line="240" w:lineRule="auto"/>
              <w:jc w:val="center"/>
            </w:pPr>
            <w:r>
              <w:t>A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E17E87" w:rsidRDefault="00E17E87" w:rsidP="005B69A8">
            <w:pPr>
              <w:spacing w:line="240" w:lineRule="auto"/>
              <w:jc w:val="left"/>
            </w:pPr>
            <w:r>
              <w:t>Cena za likvidaci komunálních odpadů v Kč za 1 t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17E87" w:rsidRDefault="00B045E4" w:rsidP="005B69A8">
            <w:pPr>
              <w:spacing w:line="240" w:lineRule="auto"/>
              <w:jc w:val="center"/>
            </w:pPr>
            <w:r>
              <w:t>6</w:t>
            </w:r>
            <w:r w:rsidR="00E17E87">
              <w:t>0</w:t>
            </w:r>
          </w:p>
        </w:tc>
      </w:tr>
      <w:tr w:rsidR="00E17E87" w:rsidTr="003D32D3">
        <w:trPr>
          <w:trHeight w:val="454"/>
        </w:trPr>
        <w:tc>
          <w:tcPr>
            <w:tcW w:w="567" w:type="dxa"/>
            <w:shd w:val="clear" w:color="auto" w:fill="D9D9D9"/>
            <w:vAlign w:val="center"/>
          </w:tcPr>
          <w:p w:rsidR="00E17E87" w:rsidRDefault="00E17E87" w:rsidP="005B69A8">
            <w:pPr>
              <w:spacing w:line="240" w:lineRule="auto"/>
              <w:jc w:val="center"/>
            </w:pPr>
            <w:r>
              <w:t>B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E17E87" w:rsidRDefault="00E17E87" w:rsidP="005B69A8">
            <w:pPr>
              <w:spacing w:line="240" w:lineRule="auto"/>
              <w:jc w:val="left"/>
            </w:pPr>
            <w:r>
              <w:t>Celková výhodnost typu překladiště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17E87" w:rsidRDefault="00B045E4" w:rsidP="00B045E4">
            <w:pPr>
              <w:spacing w:line="240" w:lineRule="auto"/>
              <w:jc w:val="center"/>
            </w:pPr>
            <w:r>
              <w:t>25</w:t>
            </w:r>
          </w:p>
        </w:tc>
      </w:tr>
      <w:tr w:rsidR="00E17E87" w:rsidTr="003D32D3">
        <w:trPr>
          <w:trHeight w:val="680"/>
        </w:trPr>
        <w:tc>
          <w:tcPr>
            <w:tcW w:w="567" w:type="dxa"/>
            <w:shd w:val="clear" w:color="auto" w:fill="D9D9D9"/>
            <w:vAlign w:val="center"/>
          </w:tcPr>
          <w:p w:rsidR="00E17E87" w:rsidRDefault="00E17E87" w:rsidP="005B69A8">
            <w:pPr>
              <w:spacing w:line="240" w:lineRule="auto"/>
              <w:jc w:val="center"/>
            </w:pPr>
            <w:r>
              <w:t>C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E17E87" w:rsidRDefault="00E17E87" w:rsidP="00774790">
            <w:pPr>
              <w:spacing w:line="240" w:lineRule="auto"/>
              <w:jc w:val="left"/>
            </w:pPr>
            <w:r>
              <w:t>Vzdálenost překladiště od centra (náměstí T. G. Masaryka) D</w:t>
            </w:r>
            <w:r w:rsidR="00774790">
              <w:t>vora</w:t>
            </w:r>
            <w:r>
              <w:t xml:space="preserve"> K</w:t>
            </w:r>
            <w:r w:rsidR="00774790">
              <w:t>rálové</w:t>
            </w:r>
            <w:r>
              <w:t xml:space="preserve"> n. L.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17E87" w:rsidRDefault="00B045E4" w:rsidP="005B69A8">
            <w:pPr>
              <w:spacing w:line="240" w:lineRule="auto"/>
              <w:jc w:val="center"/>
            </w:pPr>
            <w:r>
              <w:t>15</w:t>
            </w:r>
          </w:p>
        </w:tc>
      </w:tr>
    </w:tbl>
    <w:p w:rsidR="004754BD" w:rsidRPr="003D32D3" w:rsidRDefault="004754BD" w:rsidP="003D32D3">
      <w:pPr>
        <w:spacing w:before="240" w:after="240"/>
        <w:ind w:left="708"/>
      </w:pPr>
      <w:r w:rsidRPr="003D32D3">
        <w:t>Nabídky účastníku budou hodnoceny podle jejich ekonomické výhodnosti. Ekonomická výhodnost nabídek se hodnotí na základě nejvýhodnějšího poměru nabídkové ceny a kvality.</w:t>
      </w:r>
      <w:r>
        <w:t xml:space="preserve"> Kvalita plnění je představována dílčími hodnotícími kritérii B a C.</w:t>
      </w:r>
    </w:p>
    <w:p w:rsidR="003875FE" w:rsidRPr="00500AAF" w:rsidRDefault="003875FE" w:rsidP="003D32D3">
      <w:pPr>
        <w:spacing w:before="240" w:after="240" w:line="240" w:lineRule="auto"/>
        <w:ind w:left="709"/>
        <w:rPr>
          <w:rFonts w:cs="Calibri"/>
          <w:b/>
        </w:rPr>
      </w:pPr>
      <w:r w:rsidRPr="00500AAF">
        <w:rPr>
          <w:rFonts w:cs="Calibri"/>
          <w:b/>
        </w:rPr>
        <w:t xml:space="preserve">Dílčí kritérium A – Nabídková cena </w:t>
      </w:r>
    </w:p>
    <w:p w:rsidR="003875FE" w:rsidRPr="00500AAF" w:rsidRDefault="004754BD" w:rsidP="003D32D3">
      <w:pPr>
        <w:spacing w:before="240" w:after="240"/>
        <w:ind w:left="709"/>
        <w:rPr>
          <w:rFonts w:cs="Calibri"/>
        </w:rPr>
      </w:pPr>
      <w:r>
        <w:rPr>
          <w:rFonts w:cs="Calibri"/>
        </w:rPr>
        <w:lastRenderedPageBreak/>
        <w:t xml:space="preserve">V rámci tohoto kritéria bude hodnocena nabídková cena účastníka </w:t>
      </w:r>
      <w:r w:rsidR="003875FE" w:rsidRPr="00500AAF">
        <w:rPr>
          <w:rFonts w:cs="Calibri"/>
        </w:rPr>
        <w:t xml:space="preserve">za kompletní realizaci veřejné zakázky v Kč bez DPH.  </w:t>
      </w:r>
    </w:p>
    <w:p w:rsidR="003875FE" w:rsidRPr="00500AAF" w:rsidRDefault="003875FE" w:rsidP="003D32D3">
      <w:pPr>
        <w:spacing w:before="240" w:after="240"/>
        <w:ind w:left="709"/>
        <w:rPr>
          <w:rFonts w:cs="Calibri"/>
        </w:rPr>
      </w:pPr>
      <w:r w:rsidRPr="00500AAF">
        <w:rPr>
          <w:rFonts w:cs="Calibri"/>
        </w:rPr>
        <w:t>Nabídková cena bude v rámci jednotlivých nabídek hodnocena podle následujícího standardního vzorce pro hodnocení ceny:</w:t>
      </w:r>
    </w:p>
    <w:p w:rsidR="003875FE" w:rsidRPr="003D32D3" w:rsidRDefault="003875FE" w:rsidP="003D32D3">
      <w:pPr>
        <w:spacing w:before="120" w:after="120"/>
        <w:ind w:left="709" w:firstLine="707"/>
        <w:rPr>
          <w:rFonts w:cs="Calibri"/>
          <w:b/>
        </w:rPr>
      </w:pPr>
      <w:r w:rsidRPr="003D32D3">
        <w:rPr>
          <w:rFonts w:cs="Calibri"/>
          <w:b/>
        </w:rPr>
        <w:t>Nejvýhodnější nabídka</w:t>
      </w:r>
    </w:p>
    <w:p w:rsidR="003875FE" w:rsidRPr="003D32D3" w:rsidRDefault="003875FE" w:rsidP="003D32D3">
      <w:pPr>
        <w:spacing w:before="120" w:after="120"/>
        <w:ind w:left="709"/>
        <w:rPr>
          <w:rFonts w:cs="Calibri"/>
          <w:b/>
        </w:rPr>
      </w:pPr>
      <w:r w:rsidRPr="003D32D3">
        <w:rPr>
          <w:rFonts w:cs="Calibri"/>
          <w:b/>
        </w:rPr>
        <w:t xml:space="preserve">100 x ------------------------------------   </w:t>
      </w:r>
      <w:proofErr w:type="spellStart"/>
      <w:r w:rsidRPr="003D32D3">
        <w:rPr>
          <w:rFonts w:cs="Calibri"/>
          <w:b/>
        </w:rPr>
        <w:t>x</w:t>
      </w:r>
      <w:proofErr w:type="spellEnd"/>
      <w:r w:rsidRPr="003D32D3">
        <w:rPr>
          <w:rFonts w:cs="Calibri"/>
          <w:b/>
        </w:rPr>
        <w:t xml:space="preserve">  váha kritéria vyjádřená v %</w:t>
      </w:r>
    </w:p>
    <w:p w:rsidR="003875FE" w:rsidRPr="003D32D3" w:rsidRDefault="005F57AB" w:rsidP="003D32D3">
      <w:pPr>
        <w:spacing w:before="120" w:after="120"/>
        <w:ind w:left="709" w:firstLine="707"/>
        <w:rPr>
          <w:rFonts w:cs="Calibri"/>
          <w:b/>
        </w:rPr>
      </w:pPr>
      <w:r w:rsidRPr="003D32D3">
        <w:rPr>
          <w:rFonts w:cs="Calibri"/>
          <w:b/>
        </w:rPr>
        <w:t>H</w:t>
      </w:r>
      <w:r w:rsidR="003875FE" w:rsidRPr="003D32D3">
        <w:rPr>
          <w:rFonts w:cs="Calibri"/>
          <w:b/>
        </w:rPr>
        <w:t>odnocená nabídka</w:t>
      </w:r>
    </w:p>
    <w:p w:rsidR="005F57AB" w:rsidRDefault="002766E6" w:rsidP="003D32D3">
      <w:pPr>
        <w:spacing w:before="120" w:after="360" w:line="240" w:lineRule="auto"/>
        <w:ind w:firstLine="709"/>
        <w:rPr>
          <w:rFonts w:cs="Calibri"/>
          <w:b/>
        </w:rPr>
      </w:pPr>
      <w:r>
        <w:rPr>
          <w:rFonts w:cs="Calibri"/>
          <w:b/>
        </w:rPr>
        <w:pict>
          <v:rect id="_x0000_i1025" style="width:418.2pt;height:1pt;mso-position-vertical:absolute" o:hralign="center" o:hrstd="t" o:hrnoshade="t" o:hr="t" fillcolor="black [3213]" stroked="f"/>
        </w:pict>
      </w:r>
    </w:p>
    <w:p w:rsidR="00523FE3" w:rsidRPr="00500AAF" w:rsidRDefault="00523FE3" w:rsidP="003D32D3">
      <w:pPr>
        <w:spacing w:before="240" w:after="240" w:line="240" w:lineRule="auto"/>
        <w:ind w:left="709"/>
        <w:rPr>
          <w:rFonts w:cs="Calibri"/>
          <w:b/>
        </w:rPr>
      </w:pPr>
      <w:r w:rsidRPr="00500AAF">
        <w:rPr>
          <w:rFonts w:cs="Calibri"/>
          <w:b/>
        </w:rPr>
        <w:t>Dílčí kritérium B - Celková výhodnost typu překladiště</w:t>
      </w:r>
    </w:p>
    <w:p w:rsidR="00724DDE" w:rsidRDefault="00523FE3" w:rsidP="003D32D3">
      <w:pPr>
        <w:spacing w:before="240" w:after="240"/>
        <w:ind w:left="709"/>
        <w:rPr>
          <w:rFonts w:cs="Calibri"/>
        </w:rPr>
      </w:pPr>
      <w:r w:rsidRPr="00500AAF">
        <w:rPr>
          <w:rFonts w:cs="Calibri"/>
        </w:rPr>
        <w:t xml:space="preserve">Hodnoceným ukazatelem v rámci kritéria B je celková výhodnost typu překladiště. </w:t>
      </w:r>
      <w:r w:rsidR="00724DDE">
        <w:rPr>
          <w:rFonts w:cs="Calibri"/>
        </w:rPr>
        <w:t>Bude posuzována následovně: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6095"/>
        <w:gridCol w:w="2377"/>
      </w:tblGrid>
      <w:tr w:rsidR="005F57AB" w:rsidTr="003D32D3">
        <w:tc>
          <w:tcPr>
            <w:tcW w:w="6095" w:type="dxa"/>
            <w:shd w:val="clear" w:color="auto" w:fill="D9D9D9" w:themeFill="background1" w:themeFillShade="D9"/>
          </w:tcPr>
          <w:p w:rsidR="005F57AB" w:rsidRDefault="005F57AB" w:rsidP="003D32D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Kvalitativní požadavek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5F57AB" w:rsidRDefault="005F57AB" w:rsidP="003D32D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Počet bodů</w:t>
            </w:r>
          </w:p>
        </w:tc>
      </w:tr>
      <w:tr w:rsidR="005F57AB" w:rsidTr="003D32D3">
        <w:tc>
          <w:tcPr>
            <w:tcW w:w="6095" w:type="dxa"/>
          </w:tcPr>
          <w:p w:rsidR="005F57AB" w:rsidRDefault="005F57AB" w:rsidP="003D32D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Zastřešení překladiště, aby nemohlo docházet k zvětšení hmotnosti odpadu vlivem srážek</w:t>
            </w:r>
          </w:p>
        </w:tc>
        <w:tc>
          <w:tcPr>
            <w:tcW w:w="2377" w:type="dxa"/>
          </w:tcPr>
          <w:p w:rsidR="005F57AB" w:rsidRDefault="005F57AB" w:rsidP="003D32D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50 bodů</w:t>
            </w:r>
          </w:p>
        </w:tc>
      </w:tr>
      <w:tr w:rsidR="005F57AB" w:rsidTr="003D32D3">
        <w:tc>
          <w:tcPr>
            <w:tcW w:w="6095" w:type="dxa"/>
          </w:tcPr>
          <w:p w:rsidR="005F57AB" w:rsidRDefault="005F57AB" w:rsidP="003D32D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Překladiště bez zastřešení</w:t>
            </w:r>
          </w:p>
        </w:tc>
        <w:tc>
          <w:tcPr>
            <w:tcW w:w="2377" w:type="dxa"/>
          </w:tcPr>
          <w:p w:rsidR="005F57AB" w:rsidRDefault="005F57AB" w:rsidP="003D32D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0 bodů</w:t>
            </w:r>
          </w:p>
        </w:tc>
      </w:tr>
      <w:tr w:rsidR="005F57AB" w:rsidTr="003D32D3">
        <w:tc>
          <w:tcPr>
            <w:tcW w:w="6095" w:type="dxa"/>
          </w:tcPr>
          <w:p w:rsidR="005F57AB" w:rsidRDefault="005F57AB" w:rsidP="003D32D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Možnost vážení odpadu na překladišti</w:t>
            </w:r>
          </w:p>
        </w:tc>
        <w:tc>
          <w:tcPr>
            <w:tcW w:w="2377" w:type="dxa"/>
          </w:tcPr>
          <w:p w:rsidR="005F57AB" w:rsidRDefault="005F57AB" w:rsidP="003D32D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50 bodů</w:t>
            </w:r>
          </w:p>
        </w:tc>
      </w:tr>
      <w:tr w:rsidR="005F57AB" w:rsidTr="003D32D3">
        <w:tc>
          <w:tcPr>
            <w:tcW w:w="6095" w:type="dxa"/>
          </w:tcPr>
          <w:p w:rsidR="005F57AB" w:rsidRDefault="005F57AB" w:rsidP="003D32D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Překladiště bez možnosti vážení odpadu</w:t>
            </w:r>
          </w:p>
        </w:tc>
        <w:tc>
          <w:tcPr>
            <w:tcW w:w="2377" w:type="dxa"/>
          </w:tcPr>
          <w:p w:rsidR="005F57AB" w:rsidRDefault="005F57AB" w:rsidP="003D32D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0 bodů</w:t>
            </w:r>
          </w:p>
        </w:tc>
      </w:tr>
    </w:tbl>
    <w:p w:rsidR="00523FE3" w:rsidRPr="00500AAF" w:rsidRDefault="00523FE3" w:rsidP="003D32D3">
      <w:pPr>
        <w:spacing w:before="240" w:after="240"/>
        <w:ind w:left="709"/>
        <w:rPr>
          <w:rFonts w:cs="Calibri"/>
        </w:rPr>
      </w:pPr>
      <w:r w:rsidRPr="00500AAF">
        <w:rPr>
          <w:rFonts w:cs="Calibri"/>
        </w:rPr>
        <w:t xml:space="preserve"> Vzorec pro hodnocení kritéria B:  </w:t>
      </w:r>
      <w:r w:rsidR="00E50E6C">
        <w:rPr>
          <w:rFonts w:cs="Calibri"/>
        </w:rPr>
        <w:t>Celkový p</w:t>
      </w:r>
      <w:r w:rsidRPr="00500AAF">
        <w:rPr>
          <w:rFonts w:cs="Calibri"/>
        </w:rPr>
        <w:t>očet bodů kritéria B x váha kritéria vyjádřená v %</w:t>
      </w:r>
    </w:p>
    <w:p w:rsidR="005F57AB" w:rsidRDefault="002766E6" w:rsidP="003D32D3">
      <w:pPr>
        <w:spacing w:before="240" w:after="360" w:line="240" w:lineRule="auto"/>
        <w:ind w:left="709"/>
        <w:rPr>
          <w:rFonts w:cs="Calibri"/>
          <w:b/>
        </w:rPr>
      </w:pPr>
      <w:r>
        <w:rPr>
          <w:rFonts w:cs="Calibri"/>
          <w:b/>
        </w:rPr>
        <w:pict>
          <v:rect id="_x0000_i1026" style="width:418.2pt;height:1pt;mso-position-vertical:absolute" o:hralign="center" o:hrstd="t" o:hrnoshade="t" o:hr="t" fillcolor="black [3213]" stroked="f"/>
        </w:pict>
      </w:r>
    </w:p>
    <w:p w:rsidR="00523FE3" w:rsidRPr="00500AAF" w:rsidRDefault="00523FE3" w:rsidP="003D32D3">
      <w:pPr>
        <w:spacing w:before="240" w:after="240" w:line="240" w:lineRule="auto"/>
        <w:ind w:left="709"/>
        <w:rPr>
          <w:rFonts w:cs="Calibri"/>
          <w:b/>
        </w:rPr>
      </w:pPr>
      <w:r w:rsidRPr="00500AAF">
        <w:rPr>
          <w:rFonts w:cs="Calibri"/>
          <w:b/>
        </w:rPr>
        <w:t>Dílčí kritérium C - Vzdálenost překladiště od ce</w:t>
      </w:r>
      <w:r w:rsidRPr="00E50E6C">
        <w:rPr>
          <w:rFonts w:cs="Calibri"/>
          <w:b/>
        </w:rPr>
        <w:t>ntra</w:t>
      </w:r>
      <w:r w:rsidRPr="00500AAF">
        <w:rPr>
          <w:rFonts w:cs="Calibri"/>
          <w:b/>
        </w:rPr>
        <w:t xml:space="preserve"> (náměstí T. G. Masaryka) Dvora Králové n. L. </w:t>
      </w:r>
    </w:p>
    <w:p w:rsidR="00523FE3" w:rsidRPr="00500AAF" w:rsidRDefault="00523FE3" w:rsidP="003D32D3">
      <w:pPr>
        <w:spacing w:before="240" w:after="240"/>
        <w:ind w:left="709"/>
        <w:rPr>
          <w:rFonts w:cs="Calibri"/>
        </w:rPr>
      </w:pPr>
      <w:r w:rsidRPr="00500AAF">
        <w:rPr>
          <w:rFonts w:cs="Calibri"/>
        </w:rPr>
        <w:t xml:space="preserve">Hodnotící komise seřadí předložené nabídky dle číselné hodnoty </w:t>
      </w:r>
      <w:r w:rsidR="00A45627">
        <w:rPr>
          <w:rFonts w:cs="Calibri"/>
        </w:rPr>
        <w:t xml:space="preserve">uvedené v kilometrech na dvě desetinná místa </w:t>
      </w:r>
      <w:r w:rsidRPr="00500AAF">
        <w:rPr>
          <w:rFonts w:cs="Calibri"/>
        </w:rPr>
        <w:t xml:space="preserve">od nejlepší k nejhorší a na základě takto provedeného hodnocení, písemně zaznamenaného v hodnotících tabulkách, přidělí nejlepší nabídce 100 bodů, přičemž další </w:t>
      </w:r>
      <w:r w:rsidR="00B045E4" w:rsidRPr="005F57AB">
        <w:rPr>
          <w:rFonts w:cs="Calibri"/>
        </w:rPr>
        <w:t>dodavatel</w:t>
      </w:r>
      <w:r w:rsidRPr="00500AAF">
        <w:rPr>
          <w:rFonts w:cs="Calibri"/>
        </w:rPr>
        <w:t>i v pořadí obdrží takový počet bodů, který odpovídá aritmetickému srovnání s nejvýhodnější nabídkou.</w:t>
      </w:r>
      <w:r w:rsidR="00C13EAA">
        <w:rPr>
          <w:rFonts w:cs="Calibri"/>
        </w:rPr>
        <w:t xml:space="preserve"> Za nejvýhodnější nabídku se považuje nabídka s nejmenší vzdáleností překladiště od centra.</w:t>
      </w:r>
    </w:p>
    <w:p w:rsidR="00523FE3" w:rsidRPr="00500AAF" w:rsidRDefault="00523FE3" w:rsidP="003D32D3">
      <w:pPr>
        <w:spacing w:before="240" w:after="240"/>
        <w:ind w:left="709"/>
        <w:rPr>
          <w:rFonts w:cs="Calibri"/>
        </w:rPr>
      </w:pPr>
      <w:r w:rsidRPr="00500AAF">
        <w:rPr>
          <w:rFonts w:cs="Calibri"/>
        </w:rPr>
        <w:t xml:space="preserve">Vzdálenost </w:t>
      </w:r>
      <w:r w:rsidR="00A45627">
        <w:rPr>
          <w:rFonts w:cs="Calibri"/>
        </w:rPr>
        <w:t xml:space="preserve">v km </w:t>
      </w:r>
      <w:r w:rsidRPr="00500AAF">
        <w:rPr>
          <w:rFonts w:cs="Calibri"/>
        </w:rPr>
        <w:t>bude v rámci jednotlivých nabídek hodnocena podle následujícího standardního vzorce pro hodnocení ceny:</w:t>
      </w:r>
    </w:p>
    <w:p w:rsidR="00523FE3" w:rsidRPr="003D32D3" w:rsidRDefault="00523FE3" w:rsidP="003D32D3">
      <w:pPr>
        <w:spacing w:before="120" w:after="120"/>
        <w:ind w:left="709" w:firstLine="707"/>
        <w:rPr>
          <w:rFonts w:cs="Calibri"/>
          <w:b/>
        </w:rPr>
      </w:pPr>
      <w:r w:rsidRPr="003D32D3">
        <w:rPr>
          <w:rFonts w:cs="Calibri"/>
          <w:b/>
        </w:rPr>
        <w:t>Nejvýhodnější nabídka</w:t>
      </w:r>
    </w:p>
    <w:p w:rsidR="00463236" w:rsidRPr="003D32D3" w:rsidRDefault="00523FE3" w:rsidP="003D32D3">
      <w:pPr>
        <w:spacing w:before="120" w:after="120"/>
        <w:ind w:left="709"/>
        <w:rPr>
          <w:rFonts w:cs="Calibri"/>
          <w:b/>
        </w:rPr>
      </w:pPr>
      <w:r w:rsidRPr="003D32D3">
        <w:rPr>
          <w:rFonts w:cs="Calibri"/>
          <w:b/>
        </w:rPr>
        <w:t xml:space="preserve">100 x ------------------------------------   </w:t>
      </w:r>
      <w:proofErr w:type="spellStart"/>
      <w:r w:rsidRPr="003D32D3">
        <w:rPr>
          <w:rFonts w:cs="Calibri"/>
          <w:b/>
        </w:rPr>
        <w:t>x</w:t>
      </w:r>
      <w:proofErr w:type="spellEnd"/>
      <w:r w:rsidRPr="003D32D3">
        <w:rPr>
          <w:rFonts w:cs="Calibri"/>
          <w:b/>
        </w:rPr>
        <w:t xml:space="preserve">  váha kritéria vyjádřená v %</w:t>
      </w:r>
    </w:p>
    <w:p w:rsidR="00523FE3" w:rsidRPr="003D32D3" w:rsidRDefault="00523FE3" w:rsidP="003D32D3">
      <w:pPr>
        <w:spacing w:before="120" w:after="120"/>
        <w:ind w:left="1417"/>
        <w:rPr>
          <w:rFonts w:cs="Calibri"/>
          <w:b/>
        </w:rPr>
      </w:pPr>
      <w:r w:rsidRPr="003D32D3">
        <w:rPr>
          <w:rFonts w:cs="Calibri"/>
          <w:b/>
        </w:rPr>
        <w:t>Hodnocená nabídka</w:t>
      </w:r>
    </w:p>
    <w:p w:rsidR="005F57AB" w:rsidRDefault="002766E6" w:rsidP="003D32D3">
      <w:pPr>
        <w:spacing w:before="240" w:after="240" w:line="240" w:lineRule="auto"/>
        <w:ind w:firstLine="709"/>
        <w:rPr>
          <w:rFonts w:cs="Calibri"/>
          <w:b/>
        </w:rPr>
      </w:pPr>
      <w:r>
        <w:rPr>
          <w:rFonts w:cs="Calibri"/>
          <w:b/>
        </w:rPr>
        <w:pict>
          <v:rect id="_x0000_i1027" style="width:418.2pt;height:1pt;mso-position-vertical:absolute" o:hralign="center" o:hrstd="t" o:hrnoshade="t" o:hr="t" fillcolor="black [3213]" stroked="f"/>
        </w:pict>
      </w:r>
    </w:p>
    <w:p w:rsidR="00463236" w:rsidRPr="005F57AB" w:rsidRDefault="00463236" w:rsidP="003D32D3">
      <w:pPr>
        <w:spacing w:before="240" w:after="360"/>
        <w:ind w:left="709"/>
        <w:rPr>
          <w:rFonts w:cs="Calibri"/>
          <w:b/>
        </w:rPr>
      </w:pPr>
      <w:r w:rsidRPr="005F57AB">
        <w:rPr>
          <w:rFonts w:cs="Calibri"/>
          <w:b/>
        </w:rPr>
        <w:lastRenderedPageBreak/>
        <w:t xml:space="preserve">V případě rovnosti </w:t>
      </w:r>
      <w:r w:rsidR="005F57AB">
        <w:rPr>
          <w:rFonts w:cs="Calibri"/>
          <w:b/>
        </w:rPr>
        <w:t xml:space="preserve">celkové počtu vážených </w:t>
      </w:r>
      <w:r w:rsidRPr="005F57AB">
        <w:rPr>
          <w:rFonts w:cs="Calibri"/>
          <w:b/>
        </w:rPr>
        <w:t>bodů při hodnocení rozhoduje</w:t>
      </w:r>
      <w:r w:rsidRPr="003D32D3">
        <w:rPr>
          <w:rFonts w:cs="Calibri"/>
          <w:b/>
        </w:rPr>
        <w:t xml:space="preserve"> </w:t>
      </w:r>
      <w:r w:rsidR="00F07513" w:rsidRPr="005F57AB">
        <w:rPr>
          <w:rFonts w:cs="Calibri"/>
          <w:b/>
        </w:rPr>
        <w:t>dílčí kritérium A – Nabídková cena.</w:t>
      </w:r>
      <w:r w:rsidR="005F57AB">
        <w:rPr>
          <w:rFonts w:cs="Calibri"/>
          <w:b/>
        </w:rPr>
        <w:t xml:space="preserve"> Nabídka s nižší nabídkovou cenou bude hodnocena jako výhodnější.</w:t>
      </w:r>
    </w:p>
    <w:p w:rsidR="00B359AC" w:rsidRDefault="00B359AC" w:rsidP="00726941">
      <w:pPr>
        <w:pStyle w:val="Nadpis1"/>
      </w:pPr>
      <w:bookmarkStart w:id="17" w:name="_Toc525067501"/>
      <w:r w:rsidRPr="006B37B9">
        <w:t xml:space="preserve">Požadavek zadavatele, aby </w:t>
      </w:r>
      <w:r w:rsidR="00B045E4">
        <w:t>dodavatel</w:t>
      </w:r>
      <w:r w:rsidRPr="006B37B9">
        <w:t xml:space="preserve"> ve své nabídce uvedl, jakou část veřejné zakázky má v úmyslu zadat jiným osobám (subdodávky)</w:t>
      </w:r>
      <w:bookmarkEnd w:id="17"/>
    </w:p>
    <w:p w:rsidR="005F57AB" w:rsidRDefault="00A63439" w:rsidP="003D32D3">
      <w:pPr>
        <w:spacing w:before="240" w:after="240"/>
        <w:ind w:left="709"/>
        <w:rPr>
          <w:rFonts w:cs="Calibri"/>
        </w:rPr>
      </w:pPr>
      <w:r w:rsidRPr="005F57AB">
        <w:rPr>
          <w:rFonts w:cs="Calibri"/>
        </w:rPr>
        <w:t xml:space="preserve">Zadavatel požaduje, aby </w:t>
      </w:r>
      <w:r w:rsidR="00B045E4" w:rsidRPr="005F57AB">
        <w:rPr>
          <w:rFonts w:cs="Calibri"/>
        </w:rPr>
        <w:t>dodavatel</w:t>
      </w:r>
      <w:r w:rsidRPr="005F57AB">
        <w:rPr>
          <w:rFonts w:cs="Calibri"/>
        </w:rPr>
        <w:t xml:space="preserve"> jako součást své nabídky předložil v souladu s ustanovením § </w:t>
      </w:r>
      <w:r w:rsidR="00357031" w:rsidRPr="005F57AB">
        <w:rPr>
          <w:rFonts w:cs="Calibri"/>
        </w:rPr>
        <w:t xml:space="preserve">105 </w:t>
      </w:r>
      <w:r w:rsidRPr="005F57AB">
        <w:rPr>
          <w:rFonts w:cs="Calibri"/>
        </w:rPr>
        <w:t>zákona č. 13</w:t>
      </w:r>
      <w:r w:rsidR="00B045E4" w:rsidRPr="005F57AB">
        <w:rPr>
          <w:rFonts w:cs="Calibri"/>
        </w:rPr>
        <w:t>4</w:t>
      </w:r>
      <w:r w:rsidRPr="005F57AB">
        <w:rPr>
          <w:rFonts w:cs="Calibri"/>
        </w:rPr>
        <w:t>/20</w:t>
      </w:r>
      <w:r w:rsidR="00B045E4" w:rsidRPr="005F57AB">
        <w:rPr>
          <w:rFonts w:cs="Calibri"/>
        </w:rPr>
        <w:t>1</w:t>
      </w:r>
      <w:r w:rsidRPr="005F57AB">
        <w:rPr>
          <w:rFonts w:cs="Calibri"/>
        </w:rPr>
        <w:t>6 Sb</w:t>
      </w:r>
      <w:r w:rsidR="005F57AB">
        <w:rPr>
          <w:rFonts w:cs="Calibri"/>
        </w:rPr>
        <w:t>.</w:t>
      </w:r>
      <w:r w:rsidR="00357031" w:rsidRPr="005F57AB">
        <w:rPr>
          <w:rFonts w:cs="Calibri"/>
        </w:rPr>
        <w:t xml:space="preserve"> seznam pod</w:t>
      </w:r>
      <w:r w:rsidRPr="005F57AB">
        <w:rPr>
          <w:rFonts w:cs="Calibri"/>
        </w:rPr>
        <w:t xml:space="preserve">dodavatelů, s jejichž pomocí </w:t>
      </w:r>
      <w:r w:rsidR="00B045E4" w:rsidRPr="005F57AB">
        <w:rPr>
          <w:rFonts w:cs="Calibri"/>
        </w:rPr>
        <w:t>dodavatel</w:t>
      </w:r>
      <w:r w:rsidRPr="005F57AB">
        <w:rPr>
          <w:rFonts w:cs="Calibri"/>
        </w:rPr>
        <w:t xml:space="preserve"> předpokládá realizaci zakázky.</w:t>
      </w:r>
    </w:p>
    <w:p w:rsidR="00B359AC" w:rsidRPr="005F57AB" w:rsidRDefault="00337F6D" w:rsidP="003D32D3">
      <w:pPr>
        <w:spacing w:before="240" w:after="240"/>
        <w:ind w:left="709"/>
        <w:rPr>
          <w:rFonts w:cs="Calibri"/>
        </w:rPr>
      </w:pPr>
      <w:r w:rsidRPr="005F57AB">
        <w:rPr>
          <w:rFonts w:cs="Calibri"/>
        </w:rPr>
        <w:t>Zadavatel si vyhrazuje požadavek, že</w:t>
      </w:r>
      <w:r w:rsidR="00B01947" w:rsidRPr="005F57AB">
        <w:rPr>
          <w:rFonts w:cs="Calibri"/>
        </w:rPr>
        <w:t xml:space="preserve"> zakázk</w:t>
      </w:r>
      <w:r w:rsidR="00357031" w:rsidRPr="005F57AB">
        <w:rPr>
          <w:rFonts w:cs="Calibri"/>
        </w:rPr>
        <w:t>a nesmí být plněna kompletně pod</w:t>
      </w:r>
      <w:r w:rsidR="00B01947" w:rsidRPr="005F57AB">
        <w:rPr>
          <w:rFonts w:cs="Calibri"/>
        </w:rPr>
        <w:t xml:space="preserve">dodavatelem, </w:t>
      </w:r>
      <w:proofErr w:type="gramStart"/>
      <w:r w:rsidR="00B01947" w:rsidRPr="005F57AB">
        <w:rPr>
          <w:rFonts w:cs="Calibri"/>
        </w:rPr>
        <w:t>tzn.</w:t>
      </w:r>
      <w:proofErr w:type="gramEnd"/>
      <w:r w:rsidR="00B01947" w:rsidRPr="005F57AB">
        <w:rPr>
          <w:rFonts w:cs="Calibri"/>
        </w:rPr>
        <w:t xml:space="preserve"> alespoň</w:t>
      </w:r>
      <w:r w:rsidRPr="005F57AB">
        <w:rPr>
          <w:rFonts w:cs="Calibri"/>
        </w:rPr>
        <w:t xml:space="preserve"> doprava</w:t>
      </w:r>
      <w:r w:rsidR="002A1264" w:rsidRPr="005F57AB">
        <w:rPr>
          <w:rFonts w:cs="Calibri"/>
        </w:rPr>
        <w:t xml:space="preserve"> odpadu z překladiště do míst</w:t>
      </w:r>
      <w:r w:rsidR="00B01947" w:rsidRPr="005F57AB">
        <w:rPr>
          <w:rFonts w:cs="Calibri"/>
        </w:rPr>
        <w:t xml:space="preserve">a </w:t>
      </w:r>
      <w:r w:rsidRPr="005F57AB">
        <w:rPr>
          <w:rFonts w:cs="Calibri"/>
        </w:rPr>
        <w:t xml:space="preserve">odstranění odpadu </w:t>
      </w:r>
      <w:proofErr w:type="gramStart"/>
      <w:r w:rsidRPr="005F57AB">
        <w:rPr>
          <w:rFonts w:cs="Calibri"/>
        </w:rPr>
        <w:t>musí</w:t>
      </w:r>
      <w:proofErr w:type="gramEnd"/>
      <w:r w:rsidRPr="005F57AB">
        <w:rPr>
          <w:rFonts w:cs="Calibri"/>
        </w:rPr>
        <w:t xml:space="preserve"> být zajištěn</w:t>
      </w:r>
      <w:r w:rsidR="002A1264" w:rsidRPr="005F57AB">
        <w:rPr>
          <w:rFonts w:cs="Calibri"/>
        </w:rPr>
        <w:t>a</w:t>
      </w:r>
      <w:r w:rsidRPr="005F57AB">
        <w:rPr>
          <w:rFonts w:cs="Calibri"/>
        </w:rPr>
        <w:t xml:space="preserve"> přímo </w:t>
      </w:r>
      <w:r w:rsidR="00B045E4" w:rsidRPr="005F57AB">
        <w:rPr>
          <w:rFonts w:cs="Calibri"/>
        </w:rPr>
        <w:t>dodavatele</w:t>
      </w:r>
      <w:r w:rsidRPr="005F57AB">
        <w:rPr>
          <w:rFonts w:cs="Calibri"/>
        </w:rPr>
        <w:t>m.</w:t>
      </w:r>
      <w:r w:rsidR="008033BE" w:rsidRPr="005F57AB">
        <w:rPr>
          <w:rFonts w:cs="Calibri"/>
        </w:rPr>
        <w:t xml:space="preserve"> </w:t>
      </w:r>
    </w:p>
    <w:p w:rsidR="00B027EE" w:rsidRDefault="008F1E22" w:rsidP="00726941">
      <w:pPr>
        <w:pStyle w:val="Nadpis1"/>
      </w:pPr>
      <w:bookmarkStart w:id="18" w:name="_Toc525067502"/>
      <w:r>
        <w:t>Podmínky kvalifikace</w:t>
      </w:r>
      <w:bookmarkEnd w:id="18"/>
    </w:p>
    <w:p w:rsidR="00D27B1C" w:rsidRDefault="00B045E4" w:rsidP="003D32D3">
      <w:pPr>
        <w:spacing w:before="240" w:after="240"/>
        <w:ind w:left="709"/>
        <w:rPr>
          <w:rFonts w:cs="Calibri"/>
        </w:rPr>
      </w:pPr>
      <w:r w:rsidRPr="00D27B1C">
        <w:rPr>
          <w:rFonts w:cs="Calibri"/>
        </w:rPr>
        <w:t>Dodavatel</w:t>
      </w:r>
      <w:r w:rsidR="008D0EBD" w:rsidRPr="00D27B1C">
        <w:rPr>
          <w:rFonts w:cs="Calibri"/>
        </w:rPr>
        <w:t xml:space="preserve"> </w:t>
      </w:r>
      <w:r w:rsidRPr="00D27B1C">
        <w:rPr>
          <w:rFonts w:cs="Calibri"/>
        </w:rPr>
        <w:t>splní</w:t>
      </w:r>
      <w:r w:rsidR="008D0EBD" w:rsidRPr="00D27B1C">
        <w:rPr>
          <w:rFonts w:cs="Calibri"/>
        </w:rPr>
        <w:t xml:space="preserve"> </w:t>
      </w:r>
      <w:r w:rsidR="00D27B1C">
        <w:rPr>
          <w:rFonts w:cs="Calibri"/>
        </w:rPr>
        <w:t>podmínky kvalifikace</w:t>
      </w:r>
      <w:r w:rsidRPr="00D27B1C">
        <w:rPr>
          <w:rFonts w:cs="Calibri"/>
        </w:rPr>
        <w:t xml:space="preserve"> dle </w:t>
      </w:r>
      <w:r w:rsidR="008D0EBD" w:rsidRPr="00D27B1C">
        <w:rPr>
          <w:rFonts w:cs="Calibri"/>
        </w:rPr>
        <w:t xml:space="preserve">§ </w:t>
      </w:r>
      <w:r w:rsidRPr="00D27B1C">
        <w:rPr>
          <w:rFonts w:cs="Calibri"/>
        </w:rPr>
        <w:t xml:space="preserve">74 odst. 1, 2 a 3 způsobem prokázání viz níže. Dodavatel může část prokázání kvalifikačních předpokladů nahradit </w:t>
      </w:r>
      <w:r w:rsidR="00D27B1C">
        <w:rPr>
          <w:rFonts w:cs="Calibri"/>
        </w:rPr>
        <w:t>předložením</w:t>
      </w:r>
      <w:r w:rsidR="00D27B1C" w:rsidRPr="00D27B1C">
        <w:rPr>
          <w:rFonts w:cs="Calibri"/>
        </w:rPr>
        <w:t xml:space="preserve"> </w:t>
      </w:r>
      <w:r w:rsidRPr="00D27B1C">
        <w:rPr>
          <w:rFonts w:cs="Calibri"/>
        </w:rPr>
        <w:t>jednotného evropského osvědčení pro veřejné zakázky dle § 87 zákona č. 134/2016 Sb.</w:t>
      </w:r>
    </w:p>
    <w:p w:rsidR="00B045E4" w:rsidRPr="00D27B1C" w:rsidRDefault="00B045E4" w:rsidP="003D32D3">
      <w:pPr>
        <w:spacing w:before="240" w:after="240"/>
        <w:ind w:left="709"/>
        <w:rPr>
          <w:rFonts w:cs="Calibri"/>
        </w:rPr>
      </w:pPr>
      <w:r w:rsidRPr="00D27B1C">
        <w:rPr>
          <w:rFonts w:cs="Calibri"/>
        </w:rPr>
        <w:t>Stáří dokladů dle § 86 odst. 5</w:t>
      </w:r>
      <w:r w:rsidR="00D27B1C">
        <w:rPr>
          <w:rFonts w:cs="Calibri"/>
        </w:rPr>
        <w:t xml:space="preserve"> </w:t>
      </w:r>
      <w:r w:rsidR="00D27B1C" w:rsidRPr="00D27B1C">
        <w:rPr>
          <w:rFonts w:cs="Calibri"/>
        </w:rPr>
        <w:t>zákona č. 134/2016 Sb.</w:t>
      </w:r>
      <w:r w:rsidRPr="00D27B1C">
        <w:rPr>
          <w:rFonts w:cs="Calibri"/>
        </w:rPr>
        <w:t xml:space="preserve"> - max. 3 měsíce před zahájením zadávacího řízení. Dodavatel může prokázat splnění </w:t>
      </w:r>
      <w:r w:rsidR="00D27B1C">
        <w:rPr>
          <w:rFonts w:cs="Calibri"/>
        </w:rPr>
        <w:t>podmínek kvalifikace dle</w:t>
      </w:r>
      <w:r w:rsidRPr="00D27B1C">
        <w:rPr>
          <w:rFonts w:cs="Calibri"/>
        </w:rPr>
        <w:t xml:space="preserve"> § 74 a </w:t>
      </w:r>
      <w:r w:rsidR="00D27B1C">
        <w:rPr>
          <w:rFonts w:cs="Calibri"/>
        </w:rPr>
        <w:t xml:space="preserve">§ </w:t>
      </w:r>
      <w:r w:rsidRPr="00D27B1C">
        <w:rPr>
          <w:rFonts w:cs="Calibri"/>
        </w:rPr>
        <w:t>77</w:t>
      </w:r>
      <w:r w:rsidR="00D27B1C">
        <w:rPr>
          <w:rFonts w:cs="Calibri"/>
        </w:rPr>
        <w:t xml:space="preserve"> </w:t>
      </w:r>
      <w:r w:rsidR="00D27B1C" w:rsidRPr="00D27B1C">
        <w:rPr>
          <w:rFonts w:cs="Calibri"/>
        </w:rPr>
        <w:t>zákona č. 134/2016 Sb.</w:t>
      </w:r>
      <w:r w:rsidRPr="00D27B1C">
        <w:rPr>
          <w:rFonts w:cs="Calibri"/>
        </w:rPr>
        <w:t xml:space="preserve"> také výpisem ze Seznamu kvalifikovaných dodavatelů </w:t>
      </w:r>
      <w:r w:rsidR="00D27B1C">
        <w:rPr>
          <w:rFonts w:cs="Calibri"/>
        </w:rPr>
        <w:t>dle</w:t>
      </w:r>
      <w:r w:rsidR="00D27B1C" w:rsidRPr="00D27B1C">
        <w:rPr>
          <w:rFonts w:cs="Calibri"/>
        </w:rPr>
        <w:t xml:space="preserve"> </w:t>
      </w:r>
      <w:r w:rsidRPr="00D27B1C">
        <w:rPr>
          <w:rFonts w:cs="Calibri"/>
        </w:rPr>
        <w:t>§ 228</w:t>
      </w:r>
      <w:r w:rsidR="00D27B1C">
        <w:rPr>
          <w:rFonts w:cs="Calibri"/>
        </w:rPr>
        <w:t xml:space="preserve"> </w:t>
      </w:r>
      <w:r w:rsidR="00D27B1C" w:rsidRPr="00D27B1C">
        <w:rPr>
          <w:rFonts w:cs="Calibri"/>
        </w:rPr>
        <w:t>zákona č. 134/2016 Sb.</w:t>
      </w:r>
    </w:p>
    <w:p w:rsidR="00D27B1C" w:rsidRDefault="00B045E4" w:rsidP="003D32D3">
      <w:pPr>
        <w:pStyle w:val="Nadpis2"/>
        <w:spacing w:before="240" w:after="240"/>
        <w:ind w:left="1418" w:hanging="709"/>
      </w:pPr>
      <w:bookmarkStart w:id="19" w:name="_Toc525067503"/>
      <w:r w:rsidRPr="00D27B1C">
        <w:t>Základní způsobilost</w:t>
      </w:r>
      <w:bookmarkEnd w:id="19"/>
    </w:p>
    <w:p w:rsidR="00B045E4" w:rsidRPr="00D27B1C" w:rsidRDefault="00D27B1C" w:rsidP="003D32D3">
      <w:pPr>
        <w:spacing w:before="240" w:after="240"/>
        <w:ind w:left="1416"/>
      </w:pPr>
      <w:r>
        <w:t>D</w:t>
      </w:r>
      <w:r w:rsidR="00B045E4" w:rsidRPr="003D32D3">
        <w:t xml:space="preserve">le § 75 odst. 1 písm. a) </w:t>
      </w:r>
      <w:r>
        <w:t>až</w:t>
      </w:r>
      <w:r w:rsidR="00B045E4" w:rsidRPr="003D32D3">
        <w:t xml:space="preserve"> f)</w:t>
      </w:r>
      <w:r>
        <w:t xml:space="preserve"> </w:t>
      </w:r>
      <w:r w:rsidRPr="00D27B1C">
        <w:t>zákona č. 134/2016 Sb.</w:t>
      </w:r>
      <w:r w:rsidR="00B045E4" w:rsidRPr="00D27B1C">
        <w:t xml:space="preserve"> dodavatel prokazuje splnění základní způsobilosti předložením dokladů dle § 75 odst. 1 písm. a) -f)</w:t>
      </w:r>
      <w:r>
        <w:t xml:space="preserve"> </w:t>
      </w:r>
      <w:r w:rsidRPr="00D27B1C">
        <w:t>zákona č. 134/2016 Sb.</w:t>
      </w:r>
    </w:p>
    <w:p w:rsidR="00D27B1C" w:rsidRDefault="00B045E4" w:rsidP="003D32D3">
      <w:pPr>
        <w:pStyle w:val="Nadpis2"/>
        <w:spacing w:before="240" w:after="240"/>
        <w:ind w:left="1418" w:hanging="709"/>
      </w:pPr>
      <w:bookmarkStart w:id="20" w:name="_Toc525067504"/>
      <w:r w:rsidRPr="00D27B1C">
        <w:t>Profesní způsobilost</w:t>
      </w:r>
      <w:bookmarkEnd w:id="20"/>
    </w:p>
    <w:p w:rsidR="00B045E4" w:rsidRDefault="00D27B1C" w:rsidP="00BF44C5">
      <w:pPr>
        <w:spacing w:before="240" w:after="240"/>
        <w:ind w:left="708"/>
      </w:pPr>
      <w:r>
        <w:t>Prokazována d</w:t>
      </w:r>
      <w:r w:rsidR="00B045E4" w:rsidRPr="003D32D3">
        <w:t>le § 77 odst. 1 a 2</w:t>
      </w:r>
      <w:r>
        <w:t xml:space="preserve"> </w:t>
      </w:r>
      <w:r w:rsidRPr="00D27B1C">
        <w:t>zákona č. 134/2016 Sb.</w:t>
      </w:r>
      <w:r w:rsidR="00B045E4" w:rsidRPr="003D32D3">
        <w:t xml:space="preserve">, </w:t>
      </w:r>
      <w:r w:rsidR="00B045E4" w:rsidRPr="00D27B1C">
        <w:t>tzn. doložením výpisu z obchodního rejstříku</w:t>
      </w:r>
      <w:r w:rsidR="00BF44C5">
        <w:t>, pokud je v něm dodavatel zapsán,</w:t>
      </w:r>
      <w:r w:rsidR="00B045E4" w:rsidRPr="00D27B1C">
        <w:t xml:space="preserve"> a výpisu ze živnostenského rejstříku prokazující živnostenské oprávnění</w:t>
      </w:r>
      <w:r w:rsidR="00970314">
        <w:t>, koncesi</w:t>
      </w:r>
      <w:r w:rsidR="00BF44C5">
        <w:t xml:space="preserve"> či licenci </w:t>
      </w:r>
      <w:r w:rsidR="00BF44C5" w:rsidRPr="00BF44C5">
        <w:rPr>
          <w:rFonts w:cs="Arial"/>
        </w:rPr>
        <w:t>s předmětem podnikání v oblasti "nakládání s odpady" nebo ekvivalent a s předmětem podnikání v oblasti provozování silniční motorové dopravy nákladní – vnitrostátní</w:t>
      </w:r>
      <w:r w:rsidR="00BF44C5">
        <w:t>,</w:t>
      </w:r>
      <w:r w:rsidR="00B045E4" w:rsidRPr="00D27B1C">
        <w:t xml:space="preserve"> tyto </w:t>
      </w:r>
      <w:r w:rsidR="00B045E4" w:rsidRPr="001C73CE">
        <w:t>budou doloženy v prostých kopiích.</w:t>
      </w:r>
    </w:p>
    <w:p w:rsidR="00BF44C5" w:rsidRPr="001C73CE" w:rsidRDefault="00BF44C5" w:rsidP="00BF44C5">
      <w:pPr>
        <w:spacing w:before="240" w:after="240"/>
        <w:ind w:left="708"/>
      </w:pPr>
      <w:r>
        <w:rPr>
          <w:rFonts w:cs="Arial"/>
        </w:rPr>
        <w:t xml:space="preserve">Splnění profesních předpokladů může být také prokázáno </w:t>
      </w:r>
      <w:r w:rsidRPr="00ED00BE">
        <w:rPr>
          <w:rFonts w:cs="Arial"/>
        </w:rPr>
        <w:t>výpis</w:t>
      </w:r>
      <w:r>
        <w:rPr>
          <w:rFonts w:cs="Arial"/>
        </w:rPr>
        <w:t>em</w:t>
      </w:r>
      <w:r w:rsidRPr="00ED00BE">
        <w:rPr>
          <w:rFonts w:cs="Arial"/>
        </w:rPr>
        <w:t xml:space="preserve"> ze seznamu kvalifikovaných dodavatelů</w:t>
      </w:r>
      <w:r>
        <w:rPr>
          <w:rFonts w:cs="Arial"/>
        </w:rPr>
        <w:t>.</w:t>
      </w:r>
    </w:p>
    <w:p w:rsidR="00B045E4" w:rsidRPr="003D32D3" w:rsidRDefault="00B045E4" w:rsidP="003D32D3">
      <w:pPr>
        <w:pStyle w:val="Nadpis2"/>
        <w:spacing w:before="240" w:after="240"/>
        <w:ind w:left="1418" w:hanging="709"/>
      </w:pPr>
      <w:bookmarkStart w:id="21" w:name="_Toc525067505"/>
      <w:r w:rsidRPr="003D32D3">
        <w:rPr>
          <w:color w:val="auto"/>
        </w:rPr>
        <w:t>Technická kvalifikace</w:t>
      </w:r>
      <w:bookmarkEnd w:id="21"/>
      <w:r w:rsidRPr="003D32D3">
        <w:rPr>
          <w:color w:val="auto"/>
        </w:rPr>
        <w:t xml:space="preserve"> </w:t>
      </w:r>
    </w:p>
    <w:p w:rsidR="00D27B1C" w:rsidRPr="003D32D3" w:rsidRDefault="00D27B1C" w:rsidP="003D32D3">
      <w:pPr>
        <w:pStyle w:val="Odstavecseseznamem"/>
        <w:numPr>
          <w:ilvl w:val="0"/>
          <w:numId w:val="42"/>
        </w:numPr>
        <w:rPr>
          <w:b/>
        </w:rPr>
      </w:pPr>
      <w:r w:rsidRPr="001C73CE">
        <w:rPr>
          <w:b/>
        </w:rPr>
        <w:t>D</w:t>
      </w:r>
      <w:r w:rsidR="00B045E4" w:rsidRPr="001C73CE">
        <w:rPr>
          <w:b/>
        </w:rPr>
        <w:t>le § 79 odst. 2 písm. b)</w:t>
      </w:r>
      <w:r w:rsidRPr="003D32D3">
        <w:rPr>
          <w:b/>
        </w:rPr>
        <w:t xml:space="preserve"> zákona č. 134/2016 Sb.</w:t>
      </w:r>
    </w:p>
    <w:p w:rsidR="00B045E4" w:rsidRPr="001C73CE" w:rsidRDefault="00D27B1C" w:rsidP="003D32D3">
      <w:pPr>
        <w:spacing w:before="240" w:after="240"/>
        <w:ind w:left="1778"/>
      </w:pPr>
      <w:r w:rsidRPr="001C73CE">
        <w:t>Dodavatel předloží s</w:t>
      </w:r>
      <w:r w:rsidR="00B045E4" w:rsidRPr="001C73CE">
        <w:t>eznam významných služeb obdobného charakteru, realizovaný</w:t>
      </w:r>
      <w:r w:rsidRPr="001C73CE">
        <w:t>ch</w:t>
      </w:r>
      <w:r w:rsidR="00B045E4" w:rsidRPr="001C73CE">
        <w:t xml:space="preserve"> v posledních třech letech</w:t>
      </w:r>
      <w:r w:rsidRPr="001C73CE">
        <w:t xml:space="preserve"> před zahájením zadávacího řízení</w:t>
      </w:r>
      <w:r w:rsidR="00B045E4" w:rsidRPr="001C73CE">
        <w:t xml:space="preserve">, včetně jejich </w:t>
      </w:r>
      <w:r w:rsidRPr="001C73CE">
        <w:t>hodnoty v Kč bez DPH</w:t>
      </w:r>
      <w:r w:rsidR="00B045E4" w:rsidRPr="001C73CE">
        <w:t>, doby realizace</w:t>
      </w:r>
      <w:r w:rsidRPr="001C73CE">
        <w:t xml:space="preserve"> v rozlišení alespoň na měsíce</w:t>
      </w:r>
      <w:r w:rsidR="00B045E4" w:rsidRPr="001C73CE">
        <w:t>, rozsahu a identifikace objednatele.</w:t>
      </w:r>
    </w:p>
    <w:p w:rsidR="00B045E4" w:rsidRPr="001C73CE" w:rsidRDefault="00D27B1C" w:rsidP="003D32D3">
      <w:pPr>
        <w:spacing w:before="240" w:after="240"/>
        <w:ind w:left="1778"/>
      </w:pPr>
      <w:r w:rsidRPr="001C73CE">
        <w:lastRenderedPageBreak/>
        <w:t xml:space="preserve">V seznamu bude uvedena alespoň jedna </w:t>
      </w:r>
      <w:r w:rsidR="00B045E4" w:rsidRPr="001C73CE">
        <w:t>realizovan</w:t>
      </w:r>
      <w:r w:rsidRPr="001C73CE">
        <w:t>á</w:t>
      </w:r>
      <w:r w:rsidR="00B045E4" w:rsidRPr="001C73CE">
        <w:t xml:space="preserve"> zakázk</w:t>
      </w:r>
      <w:r w:rsidRPr="001C73CE">
        <w:t>a</w:t>
      </w:r>
      <w:r w:rsidR="00B045E4" w:rsidRPr="001C73CE">
        <w:t xml:space="preserve"> ročně, u které převážnou část převzetí odpadu pro jednoho odběratele, s ročním plněním za poskytované služby ve výši min. </w:t>
      </w:r>
      <w:r w:rsidR="008D4197" w:rsidRPr="001C73CE">
        <w:t>5.000.000</w:t>
      </w:r>
      <w:r w:rsidRPr="001C73CE">
        <w:t xml:space="preserve"> </w:t>
      </w:r>
      <w:r w:rsidR="00B045E4" w:rsidRPr="001C73CE">
        <w:t>Kč bez DPH.</w:t>
      </w:r>
    </w:p>
    <w:p w:rsidR="00D27B1C" w:rsidRPr="003D32D3" w:rsidRDefault="00D27B1C" w:rsidP="003D32D3">
      <w:pPr>
        <w:pStyle w:val="Odstavecseseznamem"/>
        <w:numPr>
          <w:ilvl w:val="0"/>
          <w:numId w:val="42"/>
        </w:numPr>
        <w:rPr>
          <w:b/>
        </w:rPr>
      </w:pPr>
      <w:r w:rsidRPr="001C73CE">
        <w:rPr>
          <w:b/>
        </w:rPr>
        <w:t>D</w:t>
      </w:r>
      <w:r w:rsidR="00B045E4" w:rsidRPr="001C73CE">
        <w:rPr>
          <w:b/>
        </w:rPr>
        <w:t xml:space="preserve">le § 79 odst. 2 písm. j) </w:t>
      </w:r>
      <w:r w:rsidRPr="003D32D3">
        <w:rPr>
          <w:b/>
        </w:rPr>
        <w:t>zákona č. 134/2016 Sb.</w:t>
      </w:r>
    </w:p>
    <w:p w:rsidR="00B045E4" w:rsidRPr="001C73CE" w:rsidRDefault="00D27B1C" w:rsidP="003D32D3">
      <w:pPr>
        <w:spacing w:before="240" w:after="240"/>
        <w:ind w:left="1778"/>
      </w:pPr>
      <w:r w:rsidRPr="001C73CE">
        <w:t>Dodavatel předloží p</w:t>
      </w:r>
      <w:r w:rsidR="00B045E4" w:rsidRPr="001C73CE">
        <w:t>řehled nástrojů nebo pomůcek, provozních nebo technických zařízení, které bude mít poskytovatel při plnění zakázky k dispozici.</w:t>
      </w:r>
    </w:p>
    <w:p w:rsidR="0094176A" w:rsidRPr="001C73CE" w:rsidRDefault="00B045E4" w:rsidP="003D32D3">
      <w:pPr>
        <w:spacing w:before="240" w:after="240"/>
        <w:ind w:left="1778"/>
      </w:pPr>
      <w:r w:rsidRPr="001C73CE">
        <w:t>Zadavatel požaduje, aby dodavate</w:t>
      </w:r>
      <w:r w:rsidR="00C15256" w:rsidRPr="001C73CE">
        <w:t>l</w:t>
      </w:r>
      <w:r w:rsidRPr="001C73CE">
        <w:t xml:space="preserve"> disponoval</w:t>
      </w:r>
      <w:r w:rsidR="0094176A" w:rsidRPr="001C73CE">
        <w:t xml:space="preserve"> svozovou</w:t>
      </w:r>
      <w:r w:rsidRPr="001C73CE">
        <w:t xml:space="preserve"> technikou </w:t>
      </w:r>
      <w:r w:rsidR="0094176A" w:rsidRPr="001C73CE">
        <w:t>potřebnou k realizaci veřejné zakázky.</w:t>
      </w:r>
    </w:p>
    <w:p w:rsidR="00B045E4" w:rsidRPr="001C73CE" w:rsidRDefault="00E3289A" w:rsidP="003D32D3">
      <w:pPr>
        <w:spacing w:before="240" w:after="240"/>
        <w:ind w:left="1778"/>
      </w:pPr>
      <w:r>
        <w:t>Zadavatel požaduje p</w:t>
      </w:r>
      <w:r w:rsidR="00B045E4" w:rsidRPr="001C73CE">
        <w:t>rokázání předložením čestného prohlášení o disponování pomůckami, provozními či technickými zařízeními</w:t>
      </w:r>
      <w:r w:rsidR="0094176A" w:rsidRPr="001C73CE">
        <w:t xml:space="preserve"> s uvedením jejich seznamu</w:t>
      </w:r>
      <w:r w:rsidR="00B045E4" w:rsidRPr="001C73CE">
        <w:t>. Možno prokázat i dle §83 odst. 1 písm. d).</w:t>
      </w:r>
    </w:p>
    <w:p w:rsidR="00B045E4" w:rsidRPr="001C73CE" w:rsidRDefault="00B045E4" w:rsidP="003D32D3">
      <w:pPr>
        <w:spacing w:before="240" w:after="240"/>
        <w:ind w:left="709"/>
        <w:rPr>
          <w:rFonts w:cs="Calibri"/>
        </w:rPr>
      </w:pPr>
      <w:r w:rsidRPr="001C73CE">
        <w:rPr>
          <w:rFonts w:cs="Calibri"/>
        </w:rPr>
        <w:t>Dodavatel může prokázat splnění kvalifikace i způsobem dle § 81</w:t>
      </w:r>
      <w:r w:rsidR="00D27B1C" w:rsidRPr="001C73CE">
        <w:rPr>
          <w:rFonts w:cs="Calibri"/>
        </w:rPr>
        <w:t xml:space="preserve"> a násl. zákona č. 134/2016 Sb.</w:t>
      </w:r>
      <w:r w:rsidRPr="001C73CE">
        <w:rPr>
          <w:rFonts w:cs="Calibri"/>
        </w:rPr>
        <w:t xml:space="preserve"> </w:t>
      </w:r>
    </w:p>
    <w:p w:rsidR="00B359AC" w:rsidRPr="001C73CE" w:rsidRDefault="002A485C" w:rsidP="00726941">
      <w:pPr>
        <w:pStyle w:val="Nadpis1"/>
      </w:pPr>
      <w:bookmarkStart w:id="22" w:name="_Toc525067506"/>
      <w:r w:rsidRPr="001C73CE">
        <w:t>L</w:t>
      </w:r>
      <w:r w:rsidR="00B359AC" w:rsidRPr="001C73CE">
        <w:t xml:space="preserve">hůta, po kterou jsou </w:t>
      </w:r>
      <w:r w:rsidR="00677BB4" w:rsidRPr="001C73CE">
        <w:t>dodavatele</w:t>
      </w:r>
      <w:r w:rsidR="00B359AC" w:rsidRPr="001C73CE">
        <w:t xml:space="preserve"> svými nabídkami vázáni</w:t>
      </w:r>
      <w:bookmarkEnd w:id="22"/>
    </w:p>
    <w:p w:rsidR="0053207D" w:rsidRPr="003D32D3" w:rsidRDefault="0053207D" w:rsidP="003D32D3">
      <w:pPr>
        <w:spacing w:before="240" w:after="240"/>
        <w:ind w:left="709"/>
        <w:rPr>
          <w:rFonts w:cs="Calibri"/>
        </w:rPr>
      </w:pPr>
      <w:r w:rsidRPr="003D32D3">
        <w:rPr>
          <w:rFonts w:cs="Calibri"/>
        </w:rPr>
        <w:t>Zadavatel stano</w:t>
      </w:r>
      <w:r w:rsidR="00B045E4" w:rsidRPr="003D32D3">
        <w:rPr>
          <w:rFonts w:cs="Calibri"/>
        </w:rPr>
        <w:t>vuje dobu, po kterou jsou dodavatelé</w:t>
      </w:r>
      <w:r w:rsidRPr="003D32D3">
        <w:rPr>
          <w:rFonts w:cs="Calibri"/>
        </w:rPr>
        <w:t xml:space="preserve"> svou nabídkou vázáni </w:t>
      </w:r>
      <w:proofErr w:type="gramStart"/>
      <w:r w:rsidRPr="003D32D3">
        <w:rPr>
          <w:rFonts w:cs="Calibri"/>
        </w:rPr>
        <w:t>do</w:t>
      </w:r>
      <w:proofErr w:type="gramEnd"/>
      <w:r w:rsidRPr="003D32D3">
        <w:rPr>
          <w:rFonts w:cs="Calibri"/>
        </w:rPr>
        <w:t xml:space="preserve">: </w:t>
      </w:r>
      <w:proofErr w:type="gramStart"/>
      <w:r w:rsidRPr="003D32D3">
        <w:rPr>
          <w:rFonts w:cs="Calibri"/>
        </w:rPr>
        <w:t>3</w:t>
      </w:r>
      <w:r w:rsidR="00C741DF">
        <w:rPr>
          <w:rFonts w:cs="Calibri"/>
        </w:rPr>
        <w:t>0</w:t>
      </w:r>
      <w:r w:rsidRPr="003D32D3">
        <w:rPr>
          <w:rFonts w:cs="Calibri"/>
        </w:rPr>
        <w:t>.0</w:t>
      </w:r>
      <w:r w:rsidR="00C741DF" w:rsidRPr="00C741DF">
        <w:rPr>
          <w:rFonts w:cs="Calibri"/>
        </w:rPr>
        <w:t>6</w:t>
      </w:r>
      <w:r w:rsidRPr="00C741DF">
        <w:rPr>
          <w:rFonts w:cs="Calibri"/>
        </w:rPr>
        <w:t>.</w:t>
      </w:r>
      <w:r w:rsidRPr="003D32D3">
        <w:rPr>
          <w:rFonts w:cs="Calibri"/>
        </w:rPr>
        <w:t>201</w:t>
      </w:r>
      <w:r w:rsidR="00B045E4" w:rsidRPr="003D32D3">
        <w:rPr>
          <w:rFonts w:cs="Calibri"/>
        </w:rPr>
        <w:t>9</w:t>
      </w:r>
      <w:proofErr w:type="gramEnd"/>
      <w:r w:rsidRPr="003D32D3">
        <w:rPr>
          <w:rFonts w:cs="Calibri"/>
        </w:rPr>
        <w:t xml:space="preserve">, v souladu se lhůtou, stanovenou v „Oznámení </w:t>
      </w:r>
      <w:r w:rsidR="00726941" w:rsidRPr="003D32D3">
        <w:rPr>
          <w:rFonts w:cs="Calibri"/>
        </w:rPr>
        <w:t>o zahájení zadávacího řízení</w:t>
      </w:r>
      <w:r w:rsidRPr="003D32D3">
        <w:rPr>
          <w:rFonts w:cs="Calibri"/>
        </w:rPr>
        <w:t xml:space="preserve">“, které bylo uveřejněno </w:t>
      </w:r>
      <w:r w:rsidR="00726941" w:rsidRPr="003D32D3">
        <w:rPr>
          <w:rFonts w:cs="Calibri"/>
        </w:rPr>
        <w:t>ve Věstníku veřejných zakázek</w:t>
      </w:r>
      <w:r w:rsidRPr="003D32D3">
        <w:rPr>
          <w:rFonts w:cs="Calibri"/>
        </w:rPr>
        <w:t>.</w:t>
      </w:r>
    </w:p>
    <w:p w:rsidR="00651587" w:rsidRPr="001C73CE" w:rsidRDefault="00B359AC" w:rsidP="00726941">
      <w:pPr>
        <w:pStyle w:val="Nadpis1"/>
      </w:pPr>
      <w:bookmarkStart w:id="23" w:name="_Toc525067507"/>
      <w:r w:rsidRPr="001C73CE">
        <w:t>Lhůty</w:t>
      </w:r>
      <w:bookmarkEnd w:id="23"/>
    </w:p>
    <w:p w:rsidR="00651587" w:rsidRPr="003D32D3" w:rsidRDefault="00651587" w:rsidP="003D32D3">
      <w:pPr>
        <w:spacing w:before="240" w:after="240"/>
        <w:ind w:left="709"/>
        <w:rPr>
          <w:rFonts w:cs="Calibri"/>
        </w:rPr>
      </w:pPr>
      <w:r w:rsidRPr="003D32D3">
        <w:rPr>
          <w:rFonts w:cs="Calibri"/>
        </w:rPr>
        <w:t xml:space="preserve">Jsou stanoveny v „Oznámení o </w:t>
      </w:r>
      <w:r w:rsidR="00726941" w:rsidRPr="003D32D3">
        <w:rPr>
          <w:rFonts w:cs="Calibri"/>
        </w:rPr>
        <w:t>zahájení zadávacího řízení,</w:t>
      </w:r>
      <w:r w:rsidRPr="003D32D3">
        <w:rPr>
          <w:rFonts w:cs="Calibri"/>
        </w:rPr>
        <w:t xml:space="preserve">“ které bylo uveřejněno </w:t>
      </w:r>
      <w:r w:rsidR="00726941" w:rsidRPr="003D32D3">
        <w:rPr>
          <w:rFonts w:cs="Calibri"/>
        </w:rPr>
        <w:t>ve Věstníku veřejných zakázek</w:t>
      </w:r>
      <w:r w:rsidRPr="003D32D3">
        <w:rPr>
          <w:rFonts w:cs="Calibri"/>
        </w:rPr>
        <w:t>.</w:t>
      </w:r>
    </w:p>
    <w:p w:rsidR="00B359AC" w:rsidRPr="001C73CE" w:rsidRDefault="00B359AC" w:rsidP="00726941">
      <w:pPr>
        <w:pStyle w:val="Nadpis1"/>
      </w:pPr>
      <w:bookmarkStart w:id="24" w:name="_Toc525067508"/>
      <w:r w:rsidRPr="001C73CE">
        <w:t>Jistota</w:t>
      </w:r>
      <w:bookmarkEnd w:id="24"/>
    </w:p>
    <w:p w:rsidR="00A45627" w:rsidRPr="001C73CE" w:rsidRDefault="00A45627" w:rsidP="003D32D3">
      <w:pPr>
        <w:spacing w:before="240" w:after="240"/>
        <w:ind w:left="709"/>
        <w:rPr>
          <w:rFonts w:cs="Calibri"/>
        </w:rPr>
      </w:pPr>
      <w:r w:rsidRPr="001C73CE">
        <w:rPr>
          <w:rFonts w:cs="Calibri"/>
        </w:rPr>
        <w:t>Zadavatel nepožaduje poskytnutí jistoty.</w:t>
      </w:r>
    </w:p>
    <w:p w:rsidR="00A45627" w:rsidRPr="001C73CE" w:rsidRDefault="00A45627" w:rsidP="00726941">
      <w:pPr>
        <w:pStyle w:val="Nadpis1"/>
      </w:pPr>
      <w:bookmarkStart w:id="25" w:name="_Toc525067509"/>
      <w:r w:rsidRPr="001C73CE">
        <w:t>Přístup k zadávací dokumentaci</w:t>
      </w:r>
      <w:bookmarkEnd w:id="25"/>
    </w:p>
    <w:p w:rsidR="007E22C5" w:rsidRPr="001C73CE" w:rsidRDefault="00B045E4" w:rsidP="003D32D3">
      <w:pPr>
        <w:spacing w:before="240" w:after="240"/>
        <w:ind w:left="709"/>
        <w:rPr>
          <w:rFonts w:cs="Calibri"/>
        </w:rPr>
      </w:pPr>
      <w:r w:rsidRPr="001C73CE">
        <w:rPr>
          <w:rFonts w:cs="Calibri"/>
        </w:rPr>
        <w:t>Z</w:t>
      </w:r>
      <w:r w:rsidR="007E22C5" w:rsidRPr="001C73CE">
        <w:rPr>
          <w:rFonts w:cs="Calibri"/>
        </w:rPr>
        <w:t xml:space="preserve">adavatel zadávací dokumentaci v plném rozsahu, jakož i dodatečné informace poskytnuté dodavatelům na svém profilu zadavatele </w:t>
      </w:r>
      <w:hyperlink r:id="rId10" w:history="1">
        <w:r w:rsidR="00400795" w:rsidRPr="003D32D3">
          <w:rPr>
            <w:rFonts w:cs="Calibri"/>
          </w:rPr>
          <w:t>https://zakazky.mudk.cz/</w:t>
        </w:r>
      </w:hyperlink>
      <w:r w:rsidR="00726941" w:rsidRPr="001C73CE">
        <w:rPr>
          <w:rFonts w:cs="Calibri"/>
        </w:rPr>
        <w:t xml:space="preserve">.  </w:t>
      </w:r>
    </w:p>
    <w:p w:rsidR="00A45627" w:rsidRPr="001C73CE" w:rsidRDefault="00726941" w:rsidP="003D32D3">
      <w:pPr>
        <w:pStyle w:val="Nadpis1"/>
        <w:ind w:left="709" w:hanging="709"/>
      </w:pPr>
      <w:bookmarkStart w:id="26" w:name="_Toc525067510"/>
      <w:r w:rsidRPr="003D32D3">
        <w:t>Vysvětlení, doplnění a změny zadávací dokumentace (dodatečné informace) a</w:t>
      </w:r>
      <w:r w:rsidR="002265DD" w:rsidRPr="001C73CE">
        <w:t xml:space="preserve"> p</w:t>
      </w:r>
      <w:r w:rsidR="00A45627" w:rsidRPr="001C73CE">
        <w:t>rohlídka místa plnění</w:t>
      </w:r>
      <w:bookmarkEnd w:id="26"/>
    </w:p>
    <w:p w:rsidR="008D4197" w:rsidRPr="001C73CE" w:rsidRDefault="008D4197" w:rsidP="00AB6CA5">
      <w:pPr>
        <w:spacing w:before="240" w:after="240"/>
        <w:ind w:firstLine="708"/>
      </w:pPr>
      <w:r w:rsidRPr="00AB6CA5">
        <w:rPr>
          <w:b/>
          <w:bCs/>
        </w:rPr>
        <w:t>17.1. Vysvětlení zadávací dokumentace</w:t>
      </w:r>
    </w:p>
    <w:p w:rsidR="008D4197" w:rsidRPr="001C73CE" w:rsidRDefault="008D4197" w:rsidP="003D32D3">
      <w:pPr>
        <w:spacing w:before="240" w:after="240"/>
        <w:ind w:left="709"/>
      </w:pPr>
      <w:r w:rsidRPr="001C73CE">
        <w:t xml:space="preserve">Zadavatel může zadávací dokumentaci vysvětlit. Takové vysvětlení (případně související dokumenty) zadavatel uveřejní na profilu zadavatele nejméně 5 pracovních dnů před uplynutím lhůty pro podání nabídek. Pokud o vysvětlení zadávací dokumentace písemně požádá dodavatel, zadavatel uveřejní vysvětlení na profilu zadavatele do 3 pracovních dní od doručení žádosti. </w:t>
      </w:r>
    </w:p>
    <w:p w:rsidR="008D4197" w:rsidRPr="001C73CE" w:rsidRDefault="008D4197" w:rsidP="003D32D3">
      <w:pPr>
        <w:spacing w:before="240" w:after="240"/>
        <w:ind w:left="709"/>
      </w:pPr>
      <w:r w:rsidRPr="001C73CE">
        <w:t xml:space="preserve">Zadavatel není povinen vysvětlení poskytnout, pokud není žádost o vysvětlení doručena alespoň 8 pracovních dnů před uplynutím lhůty pro podání nabídek. Pokud zadavatel na </w:t>
      </w:r>
      <w:r w:rsidRPr="001C73CE">
        <w:lastRenderedPageBreak/>
        <w:t xml:space="preserve">žádost o vysvětlení, která není doručena včas, vysvětlení poskytne, může takové vysvětlení uveřejnit na profilu zadavatele i později než 5 pracovních dnů před uplynutím lhůty pro podání nabídek. </w:t>
      </w:r>
    </w:p>
    <w:p w:rsidR="008D4197" w:rsidRPr="001C73CE" w:rsidRDefault="008D4197" w:rsidP="003D32D3">
      <w:pPr>
        <w:spacing w:before="240" w:after="240"/>
        <w:ind w:left="709"/>
      </w:pPr>
      <w:r w:rsidRPr="001C73CE">
        <w:rPr>
          <w:b/>
          <w:bCs/>
        </w:rPr>
        <w:t xml:space="preserve">17.2. Změna nebo doplnění zadávací dokumentace </w:t>
      </w:r>
    </w:p>
    <w:p w:rsidR="008D4197" w:rsidRPr="001C73CE" w:rsidRDefault="008D4197" w:rsidP="003D32D3">
      <w:pPr>
        <w:spacing w:before="240" w:after="240"/>
        <w:ind w:left="709"/>
      </w:pPr>
      <w:r w:rsidRPr="001C73CE">
        <w:t xml:space="preserve">Zadavatel upozorňuje dodavatele, že před uplynutím lhůty pro podání nabídek může v souladu s § 99 </w:t>
      </w:r>
      <w:r w:rsidR="001772AC" w:rsidRPr="00D27B1C">
        <w:rPr>
          <w:rFonts w:cs="Calibri"/>
        </w:rPr>
        <w:t>zákona č. 134/2016 Sb.</w:t>
      </w:r>
      <w:r w:rsidRPr="001C73CE">
        <w:t xml:space="preserve"> změnit nebo doplnit zadávací podmínky obsažené v zadávací dokumentaci. Změna nebo doplnění zadávacích podmínek bude uveřejněna stejným způsobem, jako zadávací podmínky, které byly změněny nebo doplněny.</w:t>
      </w:r>
    </w:p>
    <w:p w:rsidR="008D4197" w:rsidRPr="001C73CE" w:rsidRDefault="008D4197" w:rsidP="003D32D3">
      <w:pPr>
        <w:spacing w:before="240" w:after="240"/>
        <w:ind w:left="709"/>
      </w:pPr>
      <w:r w:rsidRPr="001C73CE">
        <w:t xml:space="preserve">Pokud to povaha doplnění nebo změny zadávací dokumentace bude vyžadovat, zadavatel současně s tím přiměřeně prodlouží lhůtu pro podání nabídek. V případě takové změny nebo doplnění zadávací dokumentace, která může rozšířit okruh možných účastníků zadávacího řízení, prodlouží zadavatel lhůtu pro podání nabídek tak, aby činila nejméně celou svou původní délku. </w:t>
      </w:r>
    </w:p>
    <w:p w:rsidR="00FE2BE9" w:rsidRDefault="008D4197" w:rsidP="003D32D3">
      <w:pPr>
        <w:spacing w:before="240" w:after="240"/>
        <w:ind w:left="709"/>
        <w:rPr>
          <w:rFonts w:cs="Calibri"/>
          <w:b/>
        </w:rPr>
      </w:pPr>
      <w:r w:rsidRPr="003D32D3">
        <w:rPr>
          <w:rFonts w:cs="Calibri"/>
          <w:b/>
        </w:rPr>
        <w:t xml:space="preserve">17. 3. </w:t>
      </w:r>
      <w:r w:rsidR="00FE2BE9" w:rsidRPr="003D32D3">
        <w:rPr>
          <w:rFonts w:cs="Calibri"/>
          <w:b/>
        </w:rPr>
        <w:t>Prohlídka místa plnění není stanovena.</w:t>
      </w:r>
    </w:p>
    <w:p w:rsidR="00E2078E" w:rsidRPr="00E2078E" w:rsidRDefault="00E2078E" w:rsidP="00E2078E">
      <w:pPr>
        <w:spacing w:before="240" w:after="240"/>
        <w:rPr>
          <w:rFonts w:cs="Calibri"/>
        </w:rPr>
      </w:pPr>
    </w:p>
    <w:p w:rsidR="001D0AE4" w:rsidRPr="001C73CE" w:rsidRDefault="001D0AE4" w:rsidP="00726941">
      <w:pPr>
        <w:pStyle w:val="Nadpis1"/>
      </w:pPr>
      <w:bookmarkStart w:id="27" w:name="_Toc525067511"/>
      <w:r w:rsidRPr="001C73CE">
        <w:t>Podávání nabídek</w:t>
      </w:r>
      <w:bookmarkEnd w:id="27"/>
    </w:p>
    <w:p w:rsidR="003C281F" w:rsidRPr="003D32D3" w:rsidRDefault="003C281F" w:rsidP="003D32D3">
      <w:pPr>
        <w:spacing w:before="240" w:after="240"/>
        <w:ind w:left="709"/>
        <w:rPr>
          <w:b/>
        </w:rPr>
      </w:pPr>
      <w:r w:rsidRPr="003D32D3">
        <w:rPr>
          <w:rFonts w:cs="Calibri"/>
          <w:b/>
        </w:rPr>
        <w:t>18</w:t>
      </w:r>
      <w:r w:rsidRPr="003D32D3">
        <w:rPr>
          <w:b/>
        </w:rPr>
        <w:t xml:space="preserve">.1. Lhůta pro podání nabídek </w:t>
      </w:r>
    </w:p>
    <w:p w:rsidR="003C281F" w:rsidRPr="001C73CE" w:rsidRDefault="003C281F" w:rsidP="003D32D3">
      <w:pPr>
        <w:spacing w:before="240" w:after="240"/>
        <w:ind w:left="709"/>
      </w:pPr>
      <w:r w:rsidRPr="001C73CE">
        <w:t xml:space="preserve">Datum: 12. </w:t>
      </w:r>
      <w:proofErr w:type="gramStart"/>
      <w:r w:rsidRPr="001C73CE">
        <w:t>listopadu  2018</w:t>
      </w:r>
      <w:proofErr w:type="gramEnd"/>
    </w:p>
    <w:p w:rsidR="003C281F" w:rsidRPr="001C73CE" w:rsidRDefault="003C281F" w:rsidP="003D32D3">
      <w:pPr>
        <w:spacing w:before="240" w:after="240"/>
        <w:ind w:left="709"/>
      </w:pPr>
      <w:r w:rsidRPr="001C73CE">
        <w:t>Hodina: 14:00</w:t>
      </w:r>
    </w:p>
    <w:p w:rsidR="003C281F" w:rsidRPr="001C73CE" w:rsidRDefault="003C281F" w:rsidP="003D32D3">
      <w:pPr>
        <w:ind w:firstLine="708"/>
      </w:pPr>
      <w:r w:rsidRPr="001C73CE">
        <w:t xml:space="preserve">Adresa pro podání nabídek: </w:t>
      </w:r>
      <w:hyperlink r:id="rId11" w:history="1">
        <w:r w:rsidRPr="003D32D3">
          <w:rPr>
            <w:rStyle w:val="Hypertextovodkaz"/>
            <w:color w:val="auto"/>
          </w:rPr>
          <w:t>https://zakazky.mudk.cz/profile_display_2.html</w:t>
        </w:r>
      </w:hyperlink>
      <w:r w:rsidRPr="001C73CE">
        <w:t xml:space="preserve"> </w:t>
      </w:r>
    </w:p>
    <w:p w:rsidR="003C281F" w:rsidRPr="001C73CE" w:rsidRDefault="003C281F" w:rsidP="003C281F">
      <w:pPr>
        <w:ind w:firstLine="4"/>
      </w:pPr>
    </w:p>
    <w:p w:rsidR="003C281F" w:rsidRPr="001C73CE" w:rsidRDefault="003C281F" w:rsidP="003D32D3">
      <w:pPr>
        <w:ind w:firstLine="708"/>
      </w:pPr>
      <w:r w:rsidRPr="001C73CE">
        <w:rPr>
          <w:b/>
          <w:bCs/>
        </w:rPr>
        <w:t xml:space="preserve">18.2. Podmínky pro podání nabídek </w:t>
      </w:r>
    </w:p>
    <w:p w:rsidR="003C281F" w:rsidRPr="001C73CE" w:rsidRDefault="003C281F" w:rsidP="003D32D3">
      <w:pPr>
        <w:ind w:left="708"/>
      </w:pPr>
      <w:r w:rsidRPr="001C73CE">
        <w:t xml:space="preserve">Dodavatel může v rámci této veřejné zakázky podat pouze jednu nabídku, a to výhradně elektronickými prostředky prostřednictvím elektronického nástroje E-ZAK na výše uvedené adrese. Zadavatel nepřipouští podání nabídky v listinné podobě ani v jiné elektronické formě. </w:t>
      </w:r>
    </w:p>
    <w:p w:rsidR="003C281F" w:rsidRPr="003D32D3" w:rsidRDefault="003C281F" w:rsidP="003D32D3">
      <w:pPr>
        <w:autoSpaceDE w:val="0"/>
        <w:autoSpaceDN w:val="0"/>
        <w:adjustRightInd w:val="0"/>
        <w:spacing w:line="240" w:lineRule="auto"/>
        <w:ind w:left="708"/>
        <w:rPr>
          <w:rFonts w:eastAsia="Calibri" w:cs="Calibri"/>
        </w:rPr>
      </w:pPr>
      <w:r w:rsidRPr="003D32D3">
        <w:rPr>
          <w:rFonts w:eastAsia="Calibri" w:cs="Calibri"/>
        </w:rPr>
        <w:t xml:space="preserve">Pro podání nabídky se dodavatel musí registrovat v elektronickém nástroji E-ZAK, postup i technické požadavky na dodavatele jsou uvedeny v manuálu dodavatele na adrese: </w:t>
      </w:r>
      <w:hyperlink r:id="rId12" w:history="1">
        <w:r w:rsidRPr="003D32D3">
          <w:rPr>
            <w:rStyle w:val="Hypertextovodkaz"/>
            <w:rFonts w:eastAsia="Calibri" w:cs="Calibri"/>
            <w:color w:val="auto"/>
          </w:rPr>
          <w:t>https://zakazky.mudk.cz/manual.html</w:t>
        </w:r>
      </w:hyperlink>
      <w:r w:rsidRPr="003D32D3">
        <w:rPr>
          <w:rFonts w:eastAsia="Calibri" w:cs="Calibri"/>
        </w:rPr>
        <w:t xml:space="preserve">.  </w:t>
      </w:r>
    </w:p>
    <w:p w:rsidR="003C281F" w:rsidRPr="003D32D3" w:rsidRDefault="003C281F" w:rsidP="003C281F">
      <w:pPr>
        <w:autoSpaceDE w:val="0"/>
        <w:autoSpaceDN w:val="0"/>
        <w:adjustRightInd w:val="0"/>
        <w:spacing w:line="240" w:lineRule="auto"/>
        <w:rPr>
          <w:rFonts w:eastAsia="Calibri" w:cs="Calibri"/>
        </w:rPr>
      </w:pPr>
    </w:p>
    <w:p w:rsidR="003C281F" w:rsidRPr="003D32D3" w:rsidRDefault="003C281F" w:rsidP="003D32D3">
      <w:pPr>
        <w:autoSpaceDE w:val="0"/>
        <w:autoSpaceDN w:val="0"/>
        <w:adjustRightInd w:val="0"/>
        <w:spacing w:line="240" w:lineRule="auto"/>
        <w:ind w:firstLine="708"/>
        <w:rPr>
          <w:rFonts w:eastAsia="Calibri" w:cs="Calibri"/>
        </w:rPr>
      </w:pPr>
      <w:r w:rsidRPr="003D32D3">
        <w:rPr>
          <w:rFonts w:eastAsia="Calibri" w:cs="Calibri"/>
        </w:rPr>
        <w:t>Osoba podávající nabídku za účastníka zadávacího řízení musí být držitelem elektronického</w:t>
      </w:r>
    </w:p>
    <w:p w:rsidR="003C281F" w:rsidRPr="003D32D3" w:rsidRDefault="003C281F" w:rsidP="003D32D3">
      <w:pPr>
        <w:autoSpaceDE w:val="0"/>
        <w:autoSpaceDN w:val="0"/>
        <w:adjustRightInd w:val="0"/>
        <w:spacing w:line="240" w:lineRule="auto"/>
        <w:ind w:firstLine="708"/>
        <w:rPr>
          <w:rFonts w:eastAsia="Calibri" w:cs="Calibri"/>
        </w:rPr>
      </w:pPr>
      <w:r w:rsidRPr="003D32D3">
        <w:rPr>
          <w:rFonts w:eastAsia="Calibri" w:cs="Calibri"/>
        </w:rPr>
        <w:t>podpisu založeného na kvalifikovaném certifikátu.</w:t>
      </w:r>
    </w:p>
    <w:p w:rsidR="003C281F" w:rsidRPr="003D32D3" w:rsidRDefault="003C281F" w:rsidP="003D32D3">
      <w:pPr>
        <w:autoSpaceDE w:val="0"/>
        <w:autoSpaceDN w:val="0"/>
        <w:adjustRightInd w:val="0"/>
        <w:spacing w:line="240" w:lineRule="auto"/>
        <w:ind w:left="708"/>
        <w:rPr>
          <w:rFonts w:eastAsia="Calibri" w:cs="Calibri"/>
        </w:rPr>
      </w:pPr>
      <w:r w:rsidRPr="003D32D3">
        <w:rPr>
          <w:rFonts w:eastAsia="Calibri" w:cs="Calibri"/>
        </w:rPr>
        <w:t xml:space="preserve">Dodavateli se po přihlášení do elektronického nástroje E-ZAK v detailu příslušného zadávacího řízení nabídne funkcionalita pro vytvoření a odeslání elektronické nabídky. Podrobné informace nezbytné pro podání elektronické nabídky jsou uvedeny v manuálu dodavatele na adrese: </w:t>
      </w:r>
      <w:hyperlink r:id="rId13" w:history="1">
        <w:r w:rsidRPr="003D32D3">
          <w:rPr>
            <w:rStyle w:val="Hypertextovodkaz"/>
            <w:rFonts w:eastAsia="Calibri" w:cs="Calibri"/>
            <w:color w:val="auto"/>
          </w:rPr>
          <w:t>https://zakazky.mudk.cz/manual.html</w:t>
        </w:r>
      </w:hyperlink>
      <w:r w:rsidRPr="003D32D3">
        <w:rPr>
          <w:rFonts w:eastAsia="Calibri" w:cs="Calibri"/>
        </w:rPr>
        <w:t xml:space="preserve">. </w:t>
      </w:r>
    </w:p>
    <w:p w:rsidR="003C281F" w:rsidRPr="001C73CE" w:rsidRDefault="003C281F" w:rsidP="003D32D3">
      <w:pPr>
        <w:ind w:firstLine="708"/>
      </w:pPr>
      <w:r w:rsidRPr="003D32D3">
        <w:rPr>
          <w:rFonts w:eastAsia="Calibri" w:cs="Calibri"/>
        </w:rPr>
        <w:t>Účastník odpovídá za doručení nabídky ve stanovené lhůtě pro podání nabídek</w:t>
      </w:r>
    </w:p>
    <w:p w:rsidR="003C281F" w:rsidRPr="001C73CE" w:rsidRDefault="003C281F" w:rsidP="003D32D3">
      <w:pPr>
        <w:ind w:left="708"/>
      </w:pPr>
      <w:r w:rsidRPr="001C73CE">
        <w:t xml:space="preserve">Velikost jednotlivého souboru vkládaného do elektronického nástroje E-ZAK nesmí přesáhnout velikost cca 25 MB. V jedné nabídce je ale možné odeslat více souborů. Podrobné informace nezbytné pro podání elektronické nabídky jsou uvedeny v uživatelské příručce na adrese: </w:t>
      </w:r>
      <w:hyperlink r:id="rId14" w:history="1">
        <w:r w:rsidRPr="003D32D3">
          <w:rPr>
            <w:rStyle w:val="Hypertextovodkaz"/>
            <w:color w:val="auto"/>
          </w:rPr>
          <w:t>https://zakazky.mudk.cz/manual.html</w:t>
        </w:r>
      </w:hyperlink>
      <w:r w:rsidRPr="001C73CE">
        <w:t xml:space="preserve">. </w:t>
      </w:r>
    </w:p>
    <w:p w:rsidR="003C281F" w:rsidRPr="001C73CE" w:rsidRDefault="003C281F" w:rsidP="003D32D3">
      <w:pPr>
        <w:ind w:left="708"/>
      </w:pPr>
      <w:r w:rsidRPr="001C73CE">
        <w:t>Pokud by nebyla nabídka zadavateli doručena ve lhůtě nebo způsobem stanoveným v zadávací dokumentaci, nepovažuje se za podanou a v průběhu zadávacího řízení se k ní nepřihlíží. Zadavatel o této skutečnosti bezodkladně vyrozumí dodavatele.</w:t>
      </w:r>
    </w:p>
    <w:p w:rsidR="003C281F" w:rsidRPr="001C73CE" w:rsidRDefault="003C281F" w:rsidP="003D32D3">
      <w:pPr>
        <w:ind w:firstLine="708"/>
        <w:rPr>
          <w:b/>
          <w:bCs/>
        </w:rPr>
      </w:pPr>
    </w:p>
    <w:p w:rsidR="002A3E3D" w:rsidRDefault="002A3E3D" w:rsidP="003D32D3">
      <w:pPr>
        <w:ind w:firstLine="708"/>
        <w:rPr>
          <w:b/>
          <w:bCs/>
        </w:rPr>
      </w:pPr>
    </w:p>
    <w:p w:rsidR="003C281F" w:rsidRPr="001C73CE" w:rsidRDefault="003C281F" w:rsidP="003D32D3">
      <w:pPr>
        <w:ind w:firstLine="708"/>
      </w:pPr>
      <w:r w:rsidRPr="001C73CE">
        <w:rPr>
          <w:b/>
          <w:bCs/>
        </w:rPr>
        <w:lastRenderedPageBreak/>
        <w:t xml:space="preserve">18.3. Otevírání nabídek </w:t>
      </w:r>
    </w:p>
    <w:p w:rsidR="003C281F" w:rsidRPr="001C73CE" w:rsidRDefault="003C281F" w:rsidP="003D32D3">
      <w:pPr>
        <w:ind w:left="708"/>
      </w:pPr>
      <w:r w:rsidRPr="001C73CE">
        <w:t xml:space="preserve">Nabídky v elektronické podobě zadavatel otevře po uplynutí lhůty pro podání nabídek. Otevírání nabídek bude probíhat bez účasti veřejnosti. Protokol o otevírání nabídek bude následně účastníkům zadávacího řízení zaslán na jejich žádost prostřednictvím elektronického nástroje E-ZAK. </w:t>
      </w:r>
    </w:p>
    <w:p w:rsidR="00B045E4" w:rsidRPr="00651587" w:rsidRDefault="00B045E4" w:rsidP="00A45627">
      <w:pPr>
        <w:pStyle w:val="NormlnIMP"/>
        <w:spacing w:line="240" w:lineRule="auto"/>
        <w:rPr>
          <w:rFonts w:cs="Arial"/>
          <w:bCs/>
          <w:u w:val="single"/>
        </w:rPr>
      </w:pPr>
    </w:p>
    <w:p w:rsidR="00B045E4" w:rsidRPr="00B045E4" w:rsidRDefault="00A45627" w:rsidP="003D32D3">
      <w:pPr>
        <w:pStyle w:val="Nadpis1"/>
        <w:ind w:left="709" w:hanging="709"/>
      </w:pPr>
      <w:bookmarkStart w:id="28" w:name="_Toc525067512"/>
      <w:r w:rsidRPr="006B37B9">
        <w:t>Další doplňující informace a pokyny pro zpracování nabídky</w:t>
      </w:r>
      <w:bookmarkEnd w:id="28"/>
    </w:p>
    <w:p w:rsidR="00A45627" w:rsidRPr="00726941" w:rsidRDefault="00A45627" w:rsidP="003D32D3">
      <w:pPr>
        <w:spacing w:before="240" w:after="240"/>
        <w:ind w:left="709"/>
        <w:rPr>
          <w:rFonts w:cs="Calibri"/>
        </w:rPr>
      </w:pPr>
      <w:r w:rsidRPr="00726941">
        <w:rPr>
          <w:rFonts w:cs="Calibri"/>
        </w:rPr>
        <w:t>Zadavatel bude hodnotit nabídky</w:t>
      </w:r>
      <w:r w:rsidR="00C741DF">
        <w:rPr>
          <w:rFonts w:cs="Calibri"/>
        </w:rPr>
        <w:t xml:space="preserve"> a posuzovat splnění podmínek </w:t>
      </w:r>
      <w:r w:rsidR="00C84A2A">
        <w:rPr>
          <w:rFonts w:cs="Calibri"/>
        </w:rPr>
        <w:t xml:space="preserve">účasti </w:t>
      </w:r>
      <w:r w:rsidR="00C84A2A" w:rsidRPr="00726941">
        <w:rPr>
          <w:rFonts w:cs="Calibri"/>
        </w:rPr>
        <w:t>v souladu</w:t>
      </w:r>
      <w:r w:rsidRPr="00726941">
        <w:rPr>
          <w:rFonts w:cs="Calibri"/>
        </w:rPr>
        <w:t xml:space="preserve"> se zákonem č. 13</w:t>
      </w:r>
      <w:r w:rsidR="00B045E4" w:rsidRPr="00726941">
        <w:rPr>
          <w:rFonts w:cs="Calibri"/>
        </w:rPr>
        <w:t>4/201</w:t>
      </w:r>
      <w:r w:rsidRPr="00726941">
        <w:rPr>
          <w:rFonts w:cs="Calibri"/>
        </w:rPr>
        <w:t xml:space="preserve">6 Sb. </w:t>
      </w:r>
    </w:p>
    <w:p w:rsidR="00A45627" w:rsidRPr="00726941" w:rsidRDefault="00B045E4" w:rsidP="003D32D3">
      <w:pPr>
        <w:spacing w:before="240" w:after="240"/>
        <w:ind w:left="709"/>
        <w:rPr>
          <w:rFonts w:cs="Calibri"/>
        </w:rPr>
      </w:pPr>
      <w:r w:rsidRPr="00726941">
        <w:rPr>
          <w:rFonts w:cs="Calibri"/>
        </w:rPr>
        <w:t>Dodavatel</w:t>
      </w:r>
      <w:r w:rsidR="00A45627" w:rsidRPr="00726941">
        <w:rPr>
          <w:rFonts w:cs="Calibri"/>
        </w:rPr>
        <w:t>ům nevzniká právo na úhradu nákladů spojených s účastí v</w:t>
      </w:r>
      <w:r w:rsidR="00726941">
        <w:rPr>
          <w:rFonts w:cs="Calibri"/>
        </w:rPr>
        <w:t> zadávacím řízení</w:t>
      </w:r>
      <w:r w:rsidR="00A45627" w:rsidRPr="00726941">
        <w:rPr>
          <w:rFonts w:cs="Calibri"/>
        </w:rPr>
        <w:t>.</w:t>
      </w:r>
    </w:p>
    <w:p w:rsidR="00A45627" w:rsidRPr="00726941" w:rsidRDefault="00A45627" w:rsidP="003D32D3">
      <w:pPr>
        <w:spacing w:before="240" w:after="240"/>
        <w:ind w:left="709"/>
        <w:rPr>
          <w:rFonts w:cs="Calibri"/>
        </w:rPr>
      </w:pPr>
      <w:r w:rsidRPr="00726941">
        <w:rPr>
          <w:rFonts w:cs="Calibri"/>
        </w:rPr>
        <w:t>Zadavatel je povinen či oprávněn zrušit zadávací řízení a to nejpozději v termínu do uzavření smlouvy v</w:t>
      </w:r>
      <w:r w:rsidR="00214468" w:rsidRPr="00726941">
        <w:rPr>
          <w:rFonts w:cs="Calibri"/>
        </w:rPr>
        <w:t> </w:t>
      </w:r>
      <w:r w:rsidRPr="00726941">
        <w:rPr>
          <w:rFonts w:cs="Calibri"/>
        </w:rPr>
        <w:t>so</w:t>
      </w:r>
      <w:r w:rsidR="00214468" w:rsidRPr="00726941">
        <w:rPr>
          <w:rFonts w:cs="Calibri"/>
        </w:rPr>
        <w:t xml:space="preserve">uladu a za podmínek ustanovení § 127 </w:t>
      </w:r>
      <w:r w:rsidRPr="00726941">
        <w:rPr>
          <w:rFonts w:cs="Calibri"/>
        </w:rPr>
        <w:t>zákona č. 13</w:t>
      </w:r>
      <w:r w:rsidR="00B045E4" w:rsidRPr="00726941">
        <w:rPr>
          <w:rFonts w:cs="Calibri"/>
        </w:rPr>
        <w:t>4</w:t>
      </w:r>
      <w:r w:rsidRPr="00726941">
        <w:rPr>
          <w:rFonts w:cs="Calibri"/>
        </w:rPr>
        <w:t>/20</w:t>
      </w:r>
      <w:r w:rsidR="00B045E4" w:rsidRPr="00726941">
        <w:rPr>
          <w:rFonts w:cs="Calibri"/>
        </w:rPr>
        <w:t>16</w:t>
      </w:r>
      <w:r w:rsidRPr="00726941">
        <w:rPr>
          <w:rFonts w:cs="Calibri"/>
        </w:rPr>
        <w:t xml:space="preserve"> Sb. </w:t>
      </w:r>
    </w:p>
    <w:p w:rsidR="00A45627" w:rsidRPr="00726941" w:rsidRDefault="00A45627" w:rsidP="003D32D3">
      <w:pPr>
        <w:spacing w:before="240" w:after="240"/>
        <w:ind w:left="709"/>
        <w:rPr>
          <w:rFonts w:cs="Calibri"/>
        </w:rPr>
      </w:pPr>
    </w:p>
    <w:p w:rsidR="00A45627" w:rsidRPr="003D32D3" w:rsidRDefault="00B045E4" w:rsidP="003D32D3">
      <w:pPr>
        <w:spacing w:before="240" w:after="240"/>
        <w:ind w:left="709"/>
        <w:rPr>
          <w:rFonts w:cs="Calibri"/>
        </w:rPr>
      </w:pPr>
      <w:r w:rsidRPr="00726941">
        <w:rPr>
          <w:rFonts w:cs="Calibri"/>
        </w:rPr>
        <w:t>Dodavatel</w:t>
      </w:r>
      <w:r w:rsidR="00A45627" w:rsidRPr="00726941">
        <w:rPr>
          <w:rFonts w:cs="Calibri"/>
        </w:rPr>
        <w:t xml:space="preserve"> se může před odevzdáním nabídky informovat o povaze zájmové lokality, místních podmínkách a místních zvláštnostech. Případné nejasnosti je nutné si vysvětlit před podáním nabídky. Nedostatečná informovanost nebo mylné chápání us</w:t>
      </w:r>
      <w:r w:rsidRPr="00726941">
        <w:rPr>
          <w:rFonts w:cs="Calibri"/>
        </w:rPr>
        <w:t>tanovení a údajů neopravňují dodavatele</w:t>
      </w:r>
      <w:r w:rsidR="00A45627" w:rsidRPr="00726941">
        <w:rPr>
          <w:rFonts w:cs="Calibri"/>
        </w:rPr>
        <w:t xml:space="preserve"> požadovat dodatečnou úhradu nákladů nebo změnu nabídky. </w:t>
      </w:r>
    </w:p>
    <w:p w:rsidR="00A45627" w:rsidRPr="003203BA" w:rsidRDefault="00A45627" w:rsidP="00A45627">
      <w:pPr>
        <w:pStyle w:val="ZkladntextIMP"/>
        <w:suppressAutoHyphens w:val="0"/>
        <w:spacing w:line="240" w:lineRule="auto"/>
        <w:rPr>
          <w:rFonts w:cs="Arial"/>
          <w:szCs w:val="24"/>
        </w:rPr>
      </w:pPr>
    </w:p>
    <w:p w:rsidR="00A45627" w:rsidRPr="003203BA" w:rsidRDefault="00A45627" w:rsidP="00A45627">
      <w:pPr>
        <w:pStyle w:val="ZkladntextIMP"/>
        <w:suppressAutoHyphens w:val="0"/>
        <w:spacing w:line="240" w:lineRule="auto"/>
        <w:rPr>
          <w:rFonts w:cs="Arial"/>
          <w:szCs w:val="24"/>
        </w:rPr>
      </w:pPr>
    </w:p>
    <w:p w:rsidR="00A45627" w:rsidRPr="003203BA" w:rsidRDefault="00A45627" w:rsidP="00A45627">
      <w:pPr>
        <w:pStyle w:val="ZkladntextIMP"/>
        <w:suppressAutoHyphens w:val="0"/>
        <w:spacing w:line="240" w:lineRule="auto"/>
        <w:rPr>
          <w:rFonts w:cs="Arial"/>
          <w:szCs w:val="24"/>
        </w:rPr>
      </w:pPr>
    </w:p>
    <w:p w:rsidR="00A45627" w:rsidRPr="003203BA" w:rsidRDefault="00A45627" w:rsidP="00A45627">
      <w:pPr>
        <w:pStyle w:val="ZkladntextIMP"/>
        <w:suppressAutoHyphens w:val="0"/>
        <w:spacing w:line="240" w:lineRule="auto"/>
        <w:rPr>
          <w:rFonts w:cs="Arial"/>
          <w:szCs w:val="24"/>
        </w:rPr>
      </w:pPr>
    </w:p>
    <w:p w:rsidR="00A45627" w:rsidRPr="003203BA" w:rsidRDefault="00646AE7" w:rsidP="00A45627">
      <w:pPr>
        <w:pStyle w:val="ZkladntextIMP"/>
        <w:suppressAutoHyphens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„otisk razítka“</w:t>
      </w:r>
    </w:p>
    <w:p w:rsidR="00B359AC" w:rsidRPr="003203BA" w:rsidRDefault="00B359AC" w:rsidP="00B359AC">
      <w:pPr>
        <w:pStyle w:val="ZkladntextIMP"/>
        <w:suppressAutoHyphens w:val="0"/>
        <w:spacing w:line="240" w:lineRule="auto"/>
        <w:rPr>
          <w:rFonts w:cs="Arial"/>
          <w:szCs w:val="24"/>
        </w:rPr>
      </w:pPr>
    </w:p>
    <w:p w:rsidR="00B359AC" w:rsidRPr="003203BA" w:rsidRDefault="00B359AC" w:rsidP="00B359AC">
      <w:pPr>
        <w:pStyle w:val="ZkladntextIMP"/>
        <w:suppressAutoHyphens w:val="0"/>
        <w:spacing w:line="240" w:lineRule="auto"/>
        <w:rPr>
          <w:rFonts w:cs="Arial"/>
          <w:szCs w:val="24"/>
        </w:rPr>
      </w:pPr>
    </w:p>
    <w:p w:rsidR="00B359AC" w:rsidRDefault="00B359AC" w:rsidP="00B359AC">
      <w:pPr>
        <w:pStyle w:val="ZkladntextIMP"/>
        <w:suppressAutoHyphens w:val="0"/>
        <w:spacing w:line="240" w:lineRule="auto"/>
        <w:rPr>
          <w:rFonts w:cs="Arial"/>
          <w:szCs w:val="24"/>
        </w:rPr>
      </w:pPr>
      <w:r w:rsidRPr="003203BA">
        <w:rPr>
          <w:rFonts w:cs="Arial"/>
          <w:szCs w:val="24"/>
        </w:rPr>
        <w:tab/>
      </w:r>
    </w:p>
    <w:p w:rsidR="00646AE7" w:rsidRDefault="00646AE7" w:rsidP="00B359AC">
      <w:pPr>
        <w:pStyle w:val="ZkladntextIMP"/>
        <w:suppressAutoHyphens w:val="0"/>
        <w:spacing w:line="240" w:lineRule="auto"/>
        <w:rPr>
          <w:rFonts w:cs="Arial"/>
          <w:szCs w:val="24"/>
        </w:rPr>
      </w:pPr>
    </w:p>
    <w:p w:rsidR="00646AE7" w:rsidRPr="003203BA" w:rsidRDefault="00646AE7" w:rsidP="00B359AC">
      <w:pPr>
        <w:pStyle w:val="ZkladntextIMP"/>
        <w:suppressAutoHyphens w:val="0"/>
        <w:spacing w:line="240" w:lineRule="auto"/>
        <w:rPr>
          <w:rFonts w:cs="Arial"/>
          <w:szCs w:val="24"/>
        </w:rPr>
      </w:pPr>
    </w:p>
    <w:p w:rsidR="00B359AC" w:rsidRPr="003203BA" w:rsidRDefault="00B33C96" w:rsidP="007436D2">
      <w:pPr>
        <w:pStyle w:val="ZkladntextIMP"/>
        <w:suppressAutoHyphens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Ing</w:t>
      </w:r>
      <w:r w:rsidR="00B359AC" w:rsidRPr="003203BA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Jan</w:t>
      </w:r>
      <w:r w:rsidR="00B359AC" w:rsidRPr="003203B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Jarolím</w:t>
      </w:r>
      <w:r w:rsidR="002A36F8">
        <w:rPr>
          <w:rFonts w:cs="Arial"/>
          <w:szCs w:val="24"/>
        </w:rPr>
        <w:t xml:space="preserve"> v. r.</w:t>
      </w:r>
    </w:p>
    <w:p w:rsidR="00B359AC" w:rsidRPr="003203BA" w:rsidRDefault="00B33C96" w:rsidP="00B359AC">
      <w:pPr>
        <w:pStyle w:val="ZkladntextIMP"/>
        <w:suppressAutoHyphens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starost</w:t>
      </w:r>
      <w:r w:rsidR="00B359AC" w:rsidRPr="003203BA">
        <w:rPr>
          <w:rFonts w:cs="Arial"/>
          <w:szCs w:val="24"/>
        </w:rPr>
        <w:t>a</w:t>
      </w:r>
    </w:p>
    <w:p w:rsidR="008E3487" w:rsidRDefault="008E3487" w:rsidP="00B359AC">
      <w:pPr>
        <w:pStyle w:val="Zkladntext2"/>
        <w:autoSpaceDE w:val="0"/>
        <w:autoSpaceDN w:val="0"/>
        <w:adjustRightInd w:val="0"/>
        <w:spacing w:line="240" w:lineRule="auto"/>
        <w:rPr>
          <w:rFonts w:cs="Arial"/>
        </w:rPr>
      </w:pPr>
    </w:p>
    <w:p w:rsidR="00B359AC" w:rsidRPr="003203BA" w:rsidRDefault="00B359AC" w:rsidP="00B359AC">
      <w:pPr>
        <w:pStyle w:val="Zkladntext2"/>
        <w:autoSpaceDE w:val="0"/>
        <w:autoSpaceDN w:val="0"/>
        <w:adjustRightInd w:val="0"/>
        <w:spacing w:line="240" w:lineRule="auto"/>
        <w:rPr>
          <w:rFonts w:cs="Arial"/>
        </w:rPr>
      </w:pPr>
      <w:r w:rsidRPr="003203BA">
        <w:rPr>
          <w:rFonts w:cs="Arial"/>
        </w:rPr>
        <w:t>Ve Dvoře</w:t>
      </w:r>
      <w:r w:rsidR="00B33C96">
        <w:rPr>
          <w:rFonts w:cs="Arial"/>
        </w:rPr>
        <w:t xml:space="preserve"> Králové nad Labem dne </w:t>
      </w:r>
      <w:r w:rsidR="002A3E3D">
        <w:rPr>
          <w:rFonts w:cs="Arial"/>
        </w:rPr>
        <w:t xml:space="preserve">25. 09. </w:t>
      </w:r>
      <w:r w:rsidR="00B33C96">
        <w:rPr>
          <w:rFonts w:cs="Arial"/>
        </w:rPr>
        <w:t>201</w:t>
      </w:r>
      <w:r w:rsidR="00B045E4">
        <w:rPr>
          <w:rFonts w:cs="Arial"/>
        </w:rPr>
        <w:t>8</w:t>
      </w:r>
    </w:p>
    <w:p w:rsidR="008B31CD" w:rsidRPr="008B31CD" w:rsidRDefault="008B31CD" w:rsidP="00B359AC">
      <w:pPr>
        <w:pStyle w:val="Zkladntext2"/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p w:rsidR="00B3539A" w:rsidRDefault="00B3539A" w:rsidP="00B359AC">
      <w:pPr>
        <w:pStyle w:val="Zkladntext2"/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>Přílohy</w:t>
      </w:r>
      <w:r w:rsidR="00B359AC" w:rsidRPr="007436D2">
        <w:rPr>
          <w:rFonts w:cs="Arial"/>
        </w:rPr>
        <w:t>:</w:t>
      </w:r>
      <w:r>
        <w:rPr>
          <w:rFonts w:cs="Arial"/>
        </w:rPr>
        <w:tab/>
      </w:r>
      <w:r w:rsidR="00B359AC" w:rsidRPr="007436D2">
        <w:rPr>
          <w:rFonts w:cs="Arial"/>
        </w:rPr>
        <w:tab/>
      </w:r>
      <w:r>
        <w:rPr>
          <w:rFonts w:cs="Arial"/>
        </w:rPr>
        <w:t>Krycí list nabídky</w:t>
      </w:r>
    </w:p>
    <w:p w:rsidR="000636CC" w:rsidRDefault="00B359AC" w:rsidP="008B31CD">
      <w:pPr>
        <w:pStyle w:val="Zkladntext2"/>
        <w:autoSpaceDE w:val="0"/>
        <w:autoSpaceDN w:val="0"/>
        <w:adjustRightInd w:val="0"/>
        <w:spacing w:line="240" w:lineRule="auto"/>
        <w:ind w:left="708" w:firstLine="708"/>
        <w:rPr>
          <w:rFonts w:cs="Arial"/>
        </w:rPr>
      </w:pPr>
      <w:r w:rsidRPr="003203BA">
        <w:rPr>
          <w:rFonts w:cs="Arial"/>
        </w:rPr>
        <w:t>Návrh smlouvy o dodání, uložení a zpracování odpadu</w:t>
      </w:r>
    </w:p>
    <w:p w:rsidR="00602D4D" w:rsidRDefault="00602D4D" w:rsidP="00B045E4">
      <w:pPr>
        <w:pStyle w:val="Zkladntext2"/>
        <w:autoSpaceDE w:val="0"/>
        <w:autoSpaceDN w:val="0"/>
        <w:adjustRightInd w:val="0"/>
        <w:spacing w:line="240" w:lineRule="auto"/>
      </w:pPr>
    </w:p>
    <w:sectPr w:rsidR="00602D4D" w:rsidSect="003D32D3">
      <w:footerReference w:type="default" r:id="rId15"/>
      <w:pgSz w:w="11907" w:h="16840" w:code="9"/>
      <w:pgMar w:top="1417" w:right="1417" w:bottom="1417" w:left="1417" w:header="510" w:footer="397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E6" w:rsidRDefault="002766E6" w:rsidP="004718AB">
      <w:r>
        <w:separator/>
      </w:r>
    </w:p>
  </w:endnote>
  <w:endnote w:type="continuationSeparator" w:id="0">
    <w:p w:rsidR="002766E6" w:rsidRDefault="002766E6" w:rsidP="0047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C5" w:rsidRPr="005B69A8" w:rsidRDefault="00BF44C5">
    <w:pPr>
      <w:pStyle w:val="Zpat"/>
      <w:jc w:val="right"/>
      <w:rPr>
        <w:rFonts w:cs="Arial"/>
        <w:sz w:val="16"/>
      </w:rPr>
    </w:pPr>
    <w:r w:rsidRPr="005B69A8">
      <w:rPr>
        <w:rFonts w:cs="Arial"/>
        <w:sz w:val="16"/>
      </w:rPr>
      <w:fldChar w:fldCharType="begin"/>
    </w:r>
    <w:r w:rsidRPr="005B69A8">
      <w:rPr>
        <w:rFonts w:cs="Arial"/>
        <w:sz w:val="16"/>
      </w:rPr>
      <w:instrText>PAGE   \* MERGEFORMAT</w:instrText>
    </w:r>
    <w:r w:rsidRPr="005B69A8">
      <w:rPr>
        <w:rFonts w:cs="Arial"/>
        <w:sz w:val="16"/>
      </w:rPr>
      <w:fldChar w:fldCharType="separate"/>
    </w:r>
    <w:r w:rsidR="00DB4750">
      <w:rPr>
        <w:rFonts w:cs="Arial"/>
        <w:noProof/>
        <w:sz w:val="16"/>
      </w:rPr>
      <w:t>7</w:t>
    </w:r>
    <w:r w:rsidRPr="005B69A8">
      <w:rPr>
        <w:rFonts w:cs="Arial"/>
        <w:sz w:val="16"/>
      </w:rPr>
      <w:fldChar w:fldCharType="end"/>
    </w:r>
  </w:p>
  <w:p w:rsidR="00BF44C5" w:rsidRDefault="00BF44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E6" w:rsidRDefault="002766E6" w:rsidP="004718AB">
      <w:r>
        <w:separator/>
      </w:r>
    </w:p>
  </w:footnote>
  <w:footnote w:type="continuationSeparator" w:id="0">
    <w:p w:rsidR="002766E6" w:rsidRDefault="002766E6" w:rsidP="0047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B24"/>
    <w:multiLevelType w:val="hybridMultilevel"/>
    <w:tmpl w:val="F69A18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04139A"/>
    <w:multiLevelType w:val="hybridMultilevel"/>
    <w:tmpl w:val="A26C9BF0"/>
    <w:lvl w:ilvl="0" w:tplc="B9F0A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75674A"/>
    <w:multiLevelType w:val="hybridMultilevel"/>
    <w:tmpl w:val="317E0D84"/>
    <w:lvl w:ilvl="0" w:tplc="91784B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548FE"/>
    <w:multiLevelType w:val="multilevel"/>
    <w:tmpl w:val="9502136A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4">
    <w:nsid w:val="205179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5A25C9"/>
    <w:multiLevelType w:val="multilevel"/>
    <w:tmpl w:val="BE44E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5526FA3"/>
    <w:multiLevelType w:val="hybridMultilevel"/>
    <w:tmpl w:val="5AD6572A"/>
    <w:lvl w:ilvl="0" w:tplc="04050017">
      <w:start w:val="1"/>
      <w:numFmt w:val="lowerLetter"/>
      <w:lvlText w:val="%1)"/>
      <w:lvlJc w:val="left"/>
      <w:pPr>
        <w:ind w:left="0" w:hanging="360"/>
      </w:pPr>
    </w:lvl>
    <w:lvl w:ilvl="1" w:tplc="62A25E70">
      <w:start w:val="3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2C0D189E"/>
    <w:multiLevelType w:val="hybridMultilevel"/>
    <w:tmpl w:val="4E1029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095ED7"/>
    <w:multiLevelType w:val="multilevel"/>
    <w:tmpl w:val="B314799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292" w:hanging="576"/>
      </w:pPr>
    </w:lvl>
    <w:lvl w:ilvl="2">
      <w:start w:val="1"/>
      <w:numFmt w:val="decimal"/>
      <w:pStyle w:val="Nadpis3"/>
      <w:lvlText w:val="%1.%2.%3"/>
      <w:lvlJc w:val="left"/>
      <w:pPr>
        <w:ind w:left="436" w:hanging="720"/>
      </w:pPr>
    </w:lvl>
    <w:lvl w:ilvl="3">
      <w:start w:val="1"/>
      <w:numFmt w:val="decimal"/>
      <w:pStyle w:val="Nadpis4"/>
      <w:lvlText w:val="%1.%2.%3.%4"/>
      <w:lvlJc w:val="left"/>
      <w:pPr>
        <w:ind w:left="580" w:hanging="864"/>
      </w:pPr>
    </w:lvl>
    <w:lvl w:ilvl="4">
      <w:start w:val="1"/>
      <w:numFmt w:val="decimal"/>
      <w:pStyle w:val="Nadpis5"/>
      <w:lvlText w:val="%1.%2.%3.%4.%5"/>
      <w:lvlJc w:val="left"/>
      <w:pPr>
        <w:ind w:left="724" w:hanging="1008"/>
      </w:pPr>
    </w:lvl>
    <w:lvl w:ilvl="5">
      <w:start w:val="1"/>
      <w:numFmt w:val="decimal"/>
      <w:pStyle w:val="Nadpis6"/>
      <w:lvlText w:val="%1.%2.%3.%4.%5.%6"/>
      <w:lvlJc w:val="left"/>
      <w:pPr>
        <w:ind w:left="868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012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156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300" w:hanging="1584"/>
      </w:pPr>
    </w:lvl>
  </w:abstractNum>
  <w:abstractNum w:abstractNumId="10">
    <w:nsid w:val="358B46D0"/>
    <w:multiLevelType w:val="hybridMultilevel"/>
    <w:tmpl w:val="B6EE8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40991"/>
    <w:multiLevelType w:val="multilevel"/>
    <w:tmpl w:val="49D852A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38A5981"/>
    <w:multiLevelType w:val="hybridMultilevel"/>
    <w:tmpl w:val="EFAAE7D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DB6576"/>
    <w:multiLevelType w:val="hybridMultilevel"/>
    <w:tmpl w:val="81D0AC04"/>
    <w:lvl w:ilvl="0" w:tplc="1C006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B43CC2"/>
    <w:multiLevelType w:val="hybridMultilevel"/>
    <w:tmpl w:val="7CF096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56AC2"/>
    <w:multiLevelType w:val="hybridMultilevel"/>
    <w:tmpl w:val="5E984D1C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4E241141"/>
    <w:multiLevelType w:val="hybridMultilevel"/>
    <w:tmpl w:val="E160BD18"/>
    <w:lvl w:ilvl="0" w:tplc="691A6D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D7ECC"/>
    <w:multiLevelType w:val="hybridMultilevel"/>
    <w:tmpl w:val="BAF496B2"/>
    <w:lvl w:ilvl="0" w:tplc="E8466846">
      <w:start w:val="1"/>
      <w:numFmt w:val="lowerLetter"/>
      <w:lvlText w:val="%1)"/>
      <w:lvlJc w:val="left"/>
      <w:pPr>
        <w:ind w:left="10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5BF26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123021"/>
    <w:multiLevelType w:val="hybridMultilevel"/>
    <w:tmpl w:val="A3ACAA26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C7544"/>
    <w:multiLevelType w:val="hybridMultilevel"/>
    <w:tmpl w:val="8EA84C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13D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F71C56"/>
    <w:multiLevelType w:val="multilevel"/>
    <w:tmpl w:val="1694A07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2" w:hanging="1800"/>
      </w:pPr>
      <w:rPr>
        <w:rFonts w:hint="default"/>
      </w:rPr>
    </w:lvl>
  </w:abstractNum>
  <w:abstractNum w:abstractNumId="23">
    <w:nsid w:val="759E7A76"/>
    <w:multiLevelType w:val="hybridMultilevel"/>
    <w:tmpl w:val="AD7603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46F63"/>
    <w:multiLevelType w:val="hybridMultilevel"/>
    <w:tmpl w:val="12B027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C5EED"/>
    <w:multiLevelType w:val="hybridMultilevel"/>
    <w:tmpl w:val="F5D23E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7FEC656D"/>
    <w:multiLevelType w:val="hybridMultilevel"/>
    <w:tmpl w:val="CA90B1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26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3"/>
  </w:num>
  <w:num w:numId="10">
    <w:abstractNumId w:val="13"/>
  </w:num>
  <w:num w:numId="11">
    <w:abstractNumId w:val="10"/>
  </w:num>
  <w:num w:numId="12">
    <w:abstractNumId w:val="2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0"/>
  </w:num>
  <w:num w:numId="17">
    <w:abstractNumId w:val="6"/>
  </w:num>
  <w:num w:numId="18">
    <w:abstractNumId w:val="6"/>
  </w:num>
  <w:num w:numId="19">
    <w:abstractNumId w:val="0"/>
  </w:num>
  <w:num w:numId="20">
    <w:abstractNumId w:val="20"/>
  </w:num>
  <w:num w:numId="21">
    <w:abstractNumId w:val="24"/>
  </w:num>
  <w:num w:numId="22">
    <w:abstractNumId w:val="2"/>
  </w:num>
  <w:num w:numId="23">
    <w:abstractNumId w:val="16"/>
  </w:num>
  <w:num w:numId="24">
    <w:abstractNumId w:val="14"/>
  </w:num>
  <w:num w:numId="25">
    <w:abstractNumId w:val="17"/>
  </w:num>
  <w:num w:numId="26">
    <w:abstractNumId w:val="19"/>
  </w:num>
  <w:num w:numId="27">
    <w:abstractNumId w:val="9"/>
    <w:lvlOverride w:ilvl="0">
      <w:startOverride w:val="20"/>
    </w:lvlOverride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22"/>
  </w:num>
  <w:num w:numId="37">
    <w:abstractNumId w:val="1"/>
  </w:num>
  <w:num w:numId="38">
    <w:abstractNumId w:val="25"/>
  </w:num>
  <w:num w:numId="39">
    <w:abstractNumId w:val="9"/>
  </w:num>
  <w:num w:numId="40">
    <w:abstractNumId w:val="9"/>
  </w:num>
  <w:num w:numId="41">
    <w:abstractNumId w:val="9"/>
  </w:num>
  <w:num w:numId="42">
    <w:abstractNumId w:val="15"/>
  </w:num>
  <w:num w:numId="43">
    <w:abstractNumId w:val="9"/>
  </w:num>
  <w:num w:numId="44">
    <w:abstractNumId w:val="9"/>
  </w:num>
  <w:num w:numId="45">
    <w:abstractNumId w:val="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AC"/>
    <w:rsid w:val="00023D9B"/>
    <w:rsid w:val="000328A7"/>
    <w:rsid w:val="000403B5"/>
    <w:rsid w:val="000573A3"/>
    <w:rsid w:val="000613C3"/>
    <w:rsid w:val="000636CC"/>
    <w:rsid w:val="000652B0"/>
    <w:rsid w:val="00071AB6"/>
    <w:rsid w:val="0009392F"/>
    <w:rsid w:val="000B09D3"/>
    <w:rsid w:val="000B1CDF"/>
    <w:rsid w:val="000B2694"/>
    <w:rsid w:val="000C0526"/>
    <w:rsid w:val="000C0E7C"/>
    <w:rsid w:val="000D4855"/>
    <w:rsid w:val="000E391A"/>
    <w:rsid w:val="0011297A"/>
    <w:rsid w:val="001338FD"/>
    <w:rsid w:val="00150F09"/>
    <w:rsid w:val="001772AC"/>
    <w:rsid w:val="00190B89"/>
    <w:rsid w:val="00190E26"/>
    <w:rsid w:val="00193FFB"/>
    <w:rsid w:val="001B01B2"/>
    <w:rsid w:val="001B34AF"/>
    <w:rsid w:val="001C73CE"/>
    <w:rsid w:val="001D0AE4"/>
    <w:rsid w:val="002128B6"/>
    <w:rsid w:val="00214468"/>
    <w:rsid w:val="002233C1"/>
    <w:rsid w:val="002265DD"/>
    <w:rsid w:val="00257263"/>
    <w:rsid w:val="002766E6"/>
    <w:rsid w:val="00277D49"/>
    <w:rsid w:val="002A1264"/>
    <w:rsid w:val="002A3686"/>
    <w:rsid w:val="002A36F8"/>
    <w:rsid w:val="002A3790"/>
    <w:rsid w:val="002A3E3D"/>
    <w:rsid w:val="002A485C"/>
    <w:rsid w:val="002B2515"/>
    <w:rsid w:val="002C7009"/>
    <w:rsid w:val="002C7ACB"/>
    <w:rsid w:val="002E5ECD"/>
    <w:rsid w:val="003007EE"/>
    <w:rsid w:val="003113EE"/>
    <w:rsid w:val="0031367A"/>
    <w:rsid w:val="00331200"/>
    <w:rsid w:val="00337F6D"/>
    <w:rsid w:val="0034216F"/>
    <w:rsid w:val="00357031"/>
    <w:rsid w:val="0036446B"/>
    <w:rsid w:val="00376812"/>
    <w:rsid w:val="003875FE"/>
    <w:rsid w:val="003A7AC9"/>
    <w:rsid w:val="003B07ED"/>
    <w:rsid w:val="003C21F6"/>
    <w:rsid w:val="003C281F"/>
    <w:rsid w:val="003C3781"/>
    <w:rsid w:val="003C6A2B"/>
    <w:rsid w:val="003D32D3"/>
    <w:rsid w:val="00400795"/>
    <w:rsid w:val="0043708B"/>
    <w:rsid w:val="00463236"/>
    <w:rsid w:val="004718AB"/>
    <w:rsid w:val="004754BD"/>
    <w:rsid w:val="004873BE"/>
    <w:rsid w:val="004913D0"/>
    <w:rsid w:val="004A7035"/>
    <w:rsid w:val="004C2ADF"/>
    <w:rsid w:val="004C3BFE"/>
    <w:rsid w:val="004D7A1B"/>
    <w:rsid w:val="004E37DF"/>
    <w:rsid w:val="004F4C04"/>
    <w:rsid w:val="005005AC"/>
    <w:rsid w:val="00500AAF"/>
    <w:rsid w:val="00522991"/>
    <w:rsid w:val="00523FE3"/>
    <w:rsid w:val="0053207D"/>
    <w:rsid w:val="005A1B2D"/>
    <w:rsid w:val="005A3454"/>
    <w:rsid w:val="005A3B11"/>
    <w:rsid w:val="005B4AAC"/>
    <w:rsid w:val="005B69A8"/>
    <w:rsid w:val="005C05AC"/>
    <w:rsid w:val="005F57AB"/>
    <w:rsid w:val="00602D4D"/>
    <w:rsid w:val="00646AE7"/>
    <w:rsid w:val="00647CAC"/>
    <w:rsid w:val="00650ACD"/>
    <w:rsid w:val="00651587"/>
    <w:rsid w:val="006565D0"/>
    <w:rsid w:val="00674D74"/>
    <w:rsid w:val="00677BB4"/>
    <w:rsid w:val="006B2B12"/>
    <w:rsid w:val="006B2C42"/>
    <w:rsid w:val="006B37B9"/>
    <w:rsid w:val="006B4BF3"/>
    <w:rsid w:val="006B75CC"/>
    <w:rsid w:val="006C4A40"/>
    <w:rsid w:val="006E490C"/>
    <w:rsid w:val="006E652B"/>
    <w:rsid w:val="0071341F"/>
    <w:rsid w:val="007139C3"/>
    <w:rsid w:val="00724DDE"/>
    <w:rsid w:val="00726941"/>
    <w:rsid w:val="007436D2"/>
    <w:rsid w:val="00774790"/>
    <w:rsid w:val="007868EF"/>
    <w:rsid w:val="007B001C"/>
    <w:rsid w:val="007B01B5"/>
    <w:rsid w:val="007B6A66"/>
    <w:rsid w:val="007D1CD6"/>
    <w:rsid w:val="007E22C5"/>
    <w:rsid w:val="007E6034"/>
    <w:rsid w:val="007E6BA9"/>
    <w:rsid w:val="008033BE"/>
    <w:rsid w:val="00826C49"/>
    <w:rsid w:val="00850285"/>
    <w:rsid w:val="00855DB0"/>
    <w:rsid w:val="0086141B"/>
    <w:rsid w:val="008913D2"/>
    <w:rsid w:val="00895DEE"/>
    <w:rsid w:val="008A0389"/>
    <w:rsid w:val="008A5578"/>
    <w:rsid w:val="008B31CD"/>
    <w:rsid w:val="008D0EBD"/>
    <w:rsid w:val="008D2498"/>
    <w:rsid w:val="008D4197"/>
    <w:rsid w:val="008D4944"/>
    <w:rsid w:val="008E0053"/>
    <w:rsid w:val="008E3487"/>
    <w:rsid w:val="008F1E22"/>
    <w:rsid w:val="008F2137"/>
    <w:rsid w:val="009120A3"/>
    <w:rsid w:val="00917810"/>
    <w:rsid w:val="0092223C"/>
    <w:rsid w:val="00922526"/>
    <w:rsid w:val="00930002"/>
    <w:rsid w:val="009373A0"/>
    <w:rsid w:val="0094176A"/>
    <w:rsid w:val="00942701"/>
    <w:rsid w:val="00965AB6"/>
    <w:rsid w:val="00970314"/>
    <w:rsid w:val="00973105"/>
    <w:rsid w:val="00986061"/>
    <w:rsid w:val="009B0631"/>
    <w:rsid w:val="009C4A28"/>
    <w:rsid w:val="00A108F5"/>
    <w:rsid w:val="00A11B59"/>
    <w:rsid w:val="00A35478"/>
    <w:rsid w:val="00A35625"/>
    <w:rsid w:val="00A45627"/>
    <w:rsid w:val="00A510A9"/>
    <w:rsid w:val="00A633DA"/>
    <w:rsid w:val="00A63439"/>
    <w:rsid w:val="00A63FA6"/>
    <w:rsid w:val="00A65AA7"/>
    <w:rsid w:val="00A8217C"/>
    <w:rsid w:val="00A96F28"/>
    <w:rsid w:val="00AB6CA5"/>
    <w:rsid w:val="00AF2686"/>
    <w:rsid w:val="00B01947"/>
    <w:rsid w:val="00B027EE"/>
    <w:rsid w:val="00B045E4"/>
    <w:rsid w:val="00B33C96"/>
    <w:rsid w:val="00B3539A"/>
    <w:rsid w:val="00B359AC"/>
    <w:rsid w:val="00B432D4"/>
    <w:rsid w:val="00B437EC"/>
    <w:rsid w:val="00B43824"/>
    <w:rsid w:val="00BE15BB"/>
    <w:rsid w:val="00BF36BE"/>
    <w:rsid w:val="00BF44C5"/>
    <w:rsid w:val="00C13EAA"/>
    <w:rsid w:val="00C15256"/>
    <w:rsid w:val="00C17BE9"/>
    <w:rsid w:val="00C25961"/>
    <w:rsid w:val="00C3221C"/>
    <w:rsid w:val="00C36CE6"/>
    <w:rsid w:val="00C64F3E"/>
    <w:rsid w:val="00C741DF"/>
    <w:rsid w:val="00C83518"/>
    <w:rsid w:val="00C84A2A"/>
    <w:rsid w:val="00C90A05"/>
    <w:rsid w:val="00CA51FD"/>
    <w:rsid w:val="00CF7825"/>
    <w:rsid w:val="00D17BE1"/>
    <w:rsid w:val="00D20099"/>
    <w:rsid w:val="00D2346F"/>
    <w:rsid w:val="00D27170"/>
    <w:rsid w:val="00D27B1C"/>
    <w:rsid w:val="00D37E66"/>
    <w:rsid w:val="00D57DA9"/>
    <w:rsid w:val="00D64EF6"/>
    <w:rsid w:val="00D70B06"/>
    <w:rsid w:val="00D8531D"/>
    <w:rsid w:val="00D94112"/>
    <w:rsid w:val="00D95EB1"/>
    <w:rsid w:val="00DB4750"/>
    <w:rsid w:val="00DD221E"/>
    <w:rsid w:val="00DD764E"/>
    <w:rsid w:val="00E17E87"/>
    <w:rsid w:val="00E2078E"/>
    <w:rsid w:val="00E22A10"/>
    <w:rsid w:val="00E31871"/>
    <w:rsid w:val="00E3289A"/>
    <w:rsid w:val="00E3709B"/>
    <w:rsid w:val="00E40E69"/>
    <w:rsid w:val="00E43EAD"/>
    <w:rsid w:val="00E50E6C"/>
    <w:rsid w:val="00E93A5C"/>
    <w:rsid w:val="00E9796E"/>
    <w:rsid w:val="00EA610D"/>
    <w:rsid w:val="00EB31FB"/>
    <w:rsid w:val="00EE5600"/>
    <w:rsid w:val="00EF1823"/>
    <w:rsid w:val="00EF3793"/>
    <w:rsid w:val="00F07513"/>
    <w:rsid w:val="00F1005E"/>
    <w:rsid w:val="00FB5890"/>
    <w:rsid w:val="00FB64B3"/>
    <w:rsid w:val="00FC6C04"/>
    <w:rsid w:val="00FD0E05"/>
    <w:rsid w:val="00FD2E41"/>
    <w:rsid w:val="00FD3742"/>
    <w:rsid w:val="00FD7C7D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6BE"/>
    <w:pPr>
      <w:spacing w:line="276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26941"/>
    <w:pPr>
      <w:keepNext/>
      <w:keepLines/>
      <w:numPr>
        <w:numId w:val="7"/>
      </w:numPr>
      <w:spacing w:before="240" w:after="240"/>
      <w:outlineLvl w:val="0"/>
    </w:pPr>
    <w:rPr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2ADF"/>
    <w:pPr>
      <w:keepNext/>
      <w:keepLines/>
      <w:numPr>
        <w:ilvl w:val="1"/>
        <w:numId w:val="7"/>
      </w:numPr>
      <w:spacing w:before="200"/>
      <w:outlineLvl w:val="1"/>
    </w:pPr>
    <w:rPr>
      <w:b/>
      <w:bCs/>
      <w:color w:val="000000"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B359AC"/>
    <w:pPr>
      <w:keepNext/>
      <w:numPr>
        <w:ilvl w:val="2"/>
        <w:numId w:val="7"/>
      </w:numPr>
      <w:spacing w:line="360" w:lineRule="auto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B359AC"/>
    <w:pPr>
      <w:keepNext/>
      <w:numPr>
        <w:ilvl w:val="3"/>
        <w:numId w:val="7"/>
      </w:numPr>
      <w:jc w:val="center"/>
      <w:outlineLvl w:val="3"/>
    </w:pPr>
    <w:rPr>
      <w:i/>
      <w:i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59AC"/>
    <w:pPr>
      <w:keepNext/>
      <w:keepLines/>
      <w:numPr>
        <w:ilvl w:val="4"/>
        <w:numId w:val="7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359AC"/>
    <w:pPr>
      <w:keepNext/>
      <w:keepLines/>
      <w:numPr>
        <w:ilvl w:val="5"/>
        <w:numId w:val="7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359AC"/>
    <w:pPr>
      <w:keepNext/>
      <w:keepLines/>
      <w:numPr>
        <w:ilvl w:val="6"/>
        <w:numId w:val="7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359AC"/>
    <w:pPr>
      <w:keepNext/>
      <w:keepLines/>
      <w:numPr>
        <w:ilvl w:val="7"/>
        <w:numId w:val="7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59AC"/>
    <w:pPr>
      <w:keepNext/>
      <w:keepLines/>
      <w:numPr>
        <w:ilvl w:val="8"/>
        <w:numId w:val="7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B359AC"/>
    <w:rPr>
      <w:rFonts w:ascii="Arial" w:eastAsia="Times New Roman" w:hAnsi="Arial"/>
      <w:b/>
      <w:u w:val="single"/>
    </w:rPr>
  </w:style>
  <w:style w:type="character" w:customStyle="1" w:styleId="Nadpis4Char">
    <w:name w:val="Nadpis 4 Char"/>
    <w:link w:val="Nadpis4"/>
    <w:rsid w:val="00B359AC"/>
    <w:rPr>
      <w:rFonts w:ascii="Arial" w:eastAsia="Times New Roman" w:hAnsi="Arial"/>
      <w:i/>
      <w:iCs/>
    </w:rPr>
  </w:style>
  <w:style w:type="paragraph" w:customStyle="1" w:styleId="NormlnIMP">
    <w:name w:val="Normální_IMP"/>
    <w:basedOn w:val="Normln"/>
    <w:rsid w:val="00B359AC"/>
    <w:pPr>
      <w:suppressAutoHyphens/>
    </w:pPr>
    <w:rPr>
      <w:szCs w:val="20"/>
    </w:rPr>
  </w:style>
  <w:style w:type="paragraph" w:styleId="Zkladntext">
    <w:name w:val="Body Text"/>
    <w:basedOn w:val="Normln"/>
    <w:link w:val="ZkladntextChar"/>
    <w:rsid w:val="00B359AC"/>
    <w:rPr>
      <w:rFonts w:cs="Arial"/>
    </w:rPr>
  </w:style>
  <w:style w:type="character" w:customStyle="1" w:styleId="ZkladntextChar">
    <w:name w:val="Základní text Char"/>
    <w:link w:val="Zkladntext"/>
    <w:rsid w:val="00B359AC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ZkladntextIMP1">
    <w:name w:val="Základní text_IMP1"/>
    <w:basedOn w:val="Normln"/>
    <w:rsid w:val="00B359AC"/>
    <w:pPr>
      <w:suppressAutoHyphens/>
      <w:spacing w:line="258" w:lineRule="auto"/>
    </w:pPr>
    <w:rPr>
      <w:rFonts w:ascii="Courier New" w:hAnsi="Courier New"/>
      <w:szCs w:val="20"/>
    </w:rPr>
  </w:style>
  <w:style w:type="paragraph" w:styleId="Zpat">
    <w:name w:val="footer"/>
    <w:basedOn w:val="Normln"/>
    <w:link w:val="ZpatChar"/>
    <w:uiPriority w:val="99"/>
    <w:rsid w:val="00B359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359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359AC"/>
    <w:pPr>
      <w:suppressAutoHyphens/>
    </w:pPr>
    <w:rPr>
      <w:szCs w:val="20"/>
    </w:rPr>
  </w:style>
  <w:style w:type="paragraph" w:styleId="Zkladntext2">
    <w:name w:val="Body Text 2"/>
    <w:basedOn w:val="Normln"/>
    <w:link w:val="Zkladntext2Char"/>
    <w:rsid w:val="00B359A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B359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359A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359AC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rsid w:val="00B359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59AC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726941"/>
    <w:rPr>
      <w:rFonts w:ascii="Arial" w:eastAsia="Times New Roman" w:hAnsi="Arial"/>
      <w:b/>
      <w:bCs/>
      <w:sz w:val="26"/>
      <w:szCs w:val="28"/>
    </w:rPr>
  </w:style>
  <w:style w:type="character" w:customStyle="1" w:styleId="Nadpis2Char">
    <w:name w:val="Nadpis 2 Char"/>
    <w:link w:val="Nadpis2"/>
    <w:uiPriority w:val="9"/>
    <w:rsid w:val="004C2ADF"/>
    <w:rPr>
      <w:rFonts w:ascii="Arial" w:eastAsia="Times New Roman" w:hAnsi="Arial"/>
      <w:b/>
      <w:bCs/>
      <w:color w:val="000000"/>
      <w:sz w:val="24"/>
      <w:szCs w:val="26"/>
    </w:rPr>
  </w:style>
  <w:style w:type="character" w:customStyle="1" w:styleId="Nadpis5Char">
    <w:name w:val="Nadpis 5 Char"/>
    <w:link w:val="Nadpis5"/>
    <w:uiPriority w:val="9"/>
    <w:semiHidden/>
    <w:rsid w:val="00B359AC"/>
    <w:rPr>
      <w:rFonts w:ascii="Cambria" w:eastAsia="Times New Roman" w:hAnsi="Cambria"/>
      <w:color w:val="243F60"/>
      <w:szCs w:val="24"/>
    </w:rPr>
  </w:style>
  <w:style w:type="character" w:customStyle="1" w:styleId="Nadpis6Char">
    <w:name w:val="Nadpis 6 Char"/>
    <w:link w:val="Nadpis6"/>
    <w:uiPriority w:val="9"/>
    <w:semiHidden/>
    <w:rsid w:val="00B359AC"/>
    <w:rPr>
      <w:rFonts w:ascii="Cambria" w:eastAsia="Times New Roman" w:hAnsi="Cambria"/>
      <w:i/>
      <w:iCs/>
      <w:color w:val="243F60"/>
      <w:szCs w:val="24"/>
    </w:rPr>
  </w:style>
  <w:style w:type="character" w:customStyle="1" w:styleId="Nadpis7Char">
    <w:name w:val="Nadpis 7 Char"/>
    <w:link w:val="Nadpis7"/>
    <w:uiPriority w:val="9"/>
    <w:semiHidden/>
    <w:rsid w:val="00B359AC"/>
    <w:rPr>
      <w:rFonts w:ascii="Cambria" w:eastAsia="Times New Roman" w:hAnsi="Cambria"/>
      <w:i/>
      <w:iCs/>
      <w:color w:val="404040"/>
      <w:szCs w:val="24"/>
    </w:rPr>
  </w:style>
  <w:style w:type="character" w:customStyle="1" w:styleId="Nadpis8Char">
    <w:name w:val="Nadpis 8 Char"/>
    <w:link w:val="Nadpis8"/>
    <w:uiPriority w:val="9"/>
    <w:semiHidden/>
    <w:rsid w:val="00B359AC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semiHidden/>
    <w:rsid w:val="00B359AC"/>
    <w:rPr>
      <w:rFonts w:ascii="Cambria" w:eastAsia="Times New Roman" w:hAnsi="Cambria"/>
      <w:i/>
      <w:iCs/>
      <w:color w:val="404040"/>
    </w:rPr>
  </w:style>
  <w:style w:type="paragraph" w:styleId="Nadpisobsahu">
    <w:name w:val="TOC Heading"/>
    <w:basedOn w:val="Nadpis1"/>
    <w:next w:val="Normln"/>
    <w:uiPriority w:val="39"/>
    <w:unhideWhenUsed/>
    <w:qFormat/>
    <w:rsid w:val="005005AC"/>
    <w:pPr>
      <w:numPr>
        <w:numId w:val="0"/>
      </w:numPr>
      <w:outlineLvl w:val="9"/>
    </w:pPr>
    <w:rPr>
      <w:rFonts w:ascii="Cambria" w:hAnsi="Cambria"/>
      <w:color w:val="365F91"/>
    </w:rPr>
  </w:style>
  <w:style w:type="paragraph" w:styleId="Obsah1">
    <w:name w:val="toc 1"/>
    <w:basedOn w:val="Normln"/>
    <w:next w:val="Normln"/>
    <w:autoRedefine/>
    <w:uiPriority w:val="39"/>
    <w:unhideWhenUsed/>
    <w:rsid w:val="004C2ADF"/>
    <w:pPr>
      <w:tabs>
        <w:tab w:val="left" w:pos="440"/>
        <w:tab w:val="right" w:leader="dot" w:pos="9572"/>
      </w:tabs>
    </w:pPr>
  </w:style>
  <w:style w:type="character" w:styleId="Hypertextovodkaz">
    <w:name w:val="Hyperlink"/>
    <w:uiPriority w:val="99"/>
    <w:unhideWhenUsed/>
    <w:rsid w:val="005005A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7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37B9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718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718AB"/>
    <w:rPr>
      <w:rFonts w:ascii="Arial" w:eastAsia="Times New Roman" w:hAnsi="Arial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4C2ADF"/>
    <w:pPr>
      <w:ind w:left="200"/>
    </w:pPr>
  </w:style>
  <w:style w:type="paragraph" w:styleId="Bezmezer">
    <w:name w:val="No Spacing"/>
    <w:uiPriority w:val="1"/>
    <w:qFormat/>
    <w:rsid w:val="00BF36BE"/>
    <w:rPr>
      <w:rFonts w:ascii="Arial" w:eastAsia="Times New Roman" w:hAnsi="Arial"/>
      <w:szCs w:val="24"/>
    </w:rPr>
  </w:style>
  <w:style w:type="paragraph" w:styleId="Textkomente">
    <w:name w:val="annotation text"/>
    <w:basedOn w:val="Normln"/>
    <w:link w:val="TextkomenteChar"/>
    <w:semiHidden/>
    <w:unhideWhenUsed/>
    <w:rsid w:val="00EF1823"/>
    <w:pPr>
      <w:spacing w:line="240" w:lineRule="auto"/>
      <w:jc w:val="left"/>
    </w:pPr>
    <w:rPr>
      <w:szCs w:val="20"/>
    </w:rPr>
  </w:style>
  <w:style w:type="character" w:customStyle="1" w:styleId="TextkomenteChar">
    <w:name w:val="Text komentáře Char"/>
    <w:link w:val="Textkomente"/>
    <w:semiHidden/>
    <w:rsid w:val="00EF1823"/>
    <w:rPr>
      <w:rFonts w:ascii="Arial" w:eastAsia="Times New Roman" w:hAnsi="Arial"/>
    </w:rPr>
  </w:style>
  <w:style w:type="character" w:styleId="Odkaznakoment">
    <w:name w:val="annotation reference"/>
    <w:semiHidden/>
    <w:unhideWhenUsed/>
    <w:rsid w:val="00EF182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105"/>
    <w:pPr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3105"/>
    <w:rPr>
      <w:rFonts w:ascii="Arial" w:eastAsia="Times New Roman" w:hAnsi="Arial"/>
      <w:b/>
      <w:bCs/>
    </w:rPr>
  </w:style>
  <w:style w:type="paragraph" w:styleId="Revize">
    <w:name w:val="Revision"/>
    <w:hidden/>
    <w:uiPriority w:val="99"/>
    <w:semiHidden/>
    <w:rsid w:val="00973105"/>
    <w:rPr>
      <w:rFonts w:ascii="Arial" w:eastAsia="Times New Roman" w:hAnsi="Arial"/>
      <w:szCs w:val="24"/>
    </w:rPr>
  </w:style>
  <w:style w:type="character" w:customStyle="1" w:styleId="paragraphChar">
    <w:name w:val="paragraph Char"/>
    <w:basedOn w:val="Standardnpsmoodstavce"/>
    <w:link w:val="paragraph"/>
    <w:locked/>
    <w:rsid w:val="0094176A"/>
    <w:rPr>
      <w:rFonts w:ascii="Arial" w:hAnsi="Arial" w:cs="Arial"/>
      <w:lang w:eastAsia="ar-SA"/>
    </w:rPr>
  </w:style>
  <w:style w:type="paragraph" w:customStyle="1" w:styleId="paragraph">
    <w:name w:val="paragraph"/>
    <w:basedOn w:val="Normln"/>
    <w:link w:val="paragraphChar"/>
    <w:rsid w:val="0094176A"/>
    <w:pPr>
      <w:spacing w:before="240" w:after="240"/>
      <w:ind w:left="574"/>
    </w:pPr>
    <w:rPr>
      <w:rFonts w:eastAsia="Calibri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6BE"/>
    <w:pPr>
      <w:spacing w:line="276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26941"/>
    <w:pPr>
      <w:keepNext/>
      <w:keepLines/>
      <w:numPr>
        <w:numId w:val="7"/>
      </w:numPr>
      <w:spacing w:before="240" w:after="240"/>
      <w:outlineLvl w:val="0"/>
    </w:pPr>
    <w:rPr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2ADF"/>
    <w:pPr>
      <w:keepNext/>
      <w:keepLines/>
      <w:numPr>
        <w:ilvl w:val="1"/>
        <w:numId w:val="7"/>
      </w:numPr>
      <w:spacing w:before="200"/>
      <w:outlineLvl w:val="1"/>
    </w:pPr>
    <w:rPr>
      <w:b/>
      <w:bCs/>
      <w:color w:val="000000"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B359AC"/>
    <w:pPr>
      <w:keepNext/>
      <w:numPr>
        <w:ilvl w:val="2"/>
        <w:numId w:val="7"/>
      </w:numPr>
      <w:spacing w:line="360" w:lineRule="auto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B359AC"/>
    <w:pPr>
      <w:keepNext/>
      <w:numPr>
        <w:ilvl w:val="3"/>
        <w:numId w:val="7"/>
      </w:numPr>
      <w:jc w:val="center"/>
      <w:outlineLvl w:val="3"/>
    </w:pPr>
    <w:rPr>
      <w:i/>
      <w:i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59AC"/>
    <w:pPr>
      <w:keepNext/>
      <w:keepLines/>
      <w:numPr>
        <w:ilvl w:val="4"/>
        <w:numId w:val="7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359AC"/>
    <w:pPr>
      <w:keepNext/>
      <w:keepLines/>
      <w:numPr>
        <w:ilvl w:val="5"/>
        <w:numId w:val="7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359AC"/>
    <w:pPr>
      <w:keepNext/>
      <w:keepLines/>
      <w:numPr>
        <w:ilvl w:val="6"/>
        <w:numId w:val="7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359AC"/>
    <w:pPr>
      <w:keepNext/>
      <w:keepLines/>
      <w:numPr>
        <w:ilvl w:val="7"/>
        <w:numId w:val="7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59AC"/>
    <w:pPr>
      <w:keepNext/>
      <w:keepLines/>
      <w:numPr>
        <w:ilvl w:val="8"/>
        <w:numId w:val="7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B359AC"/>
    <w:rPr>
      <w:rFonts w:ascii="Arial" w:eastAsia="Times New Roman" w:hAnsi="Arial"/>
      <w:b/>
      <w:u w:val="single"/>
    </w:rPr>
  </w:style>
  <w:style w:type="character" w:customStyle="1" w:styleId="Nadpis4Char">
    <w:name w:val="Nadpis 4 Char"/>
    <w:link w:val="Nadpis4"/>
    <w:rsid w:val="00B359AC"/>
    <w:rPr>
      <w:rFonts w:ascii="Arial" w:eastAsia="Times New Roman" w:hAnsi="Arial"/>
      <w:i/>
      <w:iCs/>
    </w:rPr>
  </w:style>
  <w:style w:type="paragraph" w:customStyle="1" w:styleId="NormlnIMP">
    <w:name w:val="Normální_IMP"/>
    <w:basedOn w:val="Normln"/>
    <w:rsid w:val="00B359AC"/>
    <w:pPr>
      <w:suppressAutoHyphens/>
    </w:pPr>
    <w:rPr>
      <w:szCs w:val="20"/>
    </w:rPr>
  </w:style>
  <w:style w:type="paragraph" w:styleId="Zkladntext">
    <w:name w:val="Body Text"/>
    <w:basedOn w:val="Normln"/>
    <w:link w:val="ZkladntextChar"/>
    <w:rsid w:val="00B359AC"/>
    <w:rPr>
      <w:rFonts w:cs="Arial"/>
    </w:rPr>
  </w:style>
  <w:style w:type="character" w:customStyle="1" w:styleId="ZkladntextChar">
    <w:name w:val="Základní text Char"/>
    <w:link w:val="Zkladntext"/>
    <w:rsid w:val="00B359AC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ZkladntextIMP1">
    <w:name w:val="Základní text_IMP1"/>
    <w:basedOn w:val="Normln"/>
    <w:rsid w:val="00B359AC"/>
    <w:pPr>
      <w:suppressAutoHyphens/>
      <w:spacing w:line="258" w:lineRule="auto"/>
    </w:pPr>
    <w:rPr>
      <w:rFonts w:ascii="Courier New" w:hAnsi="Courier New"/>
      <w:szCs w:val="20"/>
    </w:rPr>
  </w:style>
  <w:style w:type="paragraph" w:styleId="Zpat">
    <w:name w:val="footer"/>
    <w:basedOn w:val="Normln"/>
    <w:link w:val="ZpatChar"/>
    <w:uiPriority w:val="99"/>
    <w:rsid w:val="00B359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359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359AC"/>
    <w:pPr>
      <w:suppressAutoHyphens/>
    </w:pPr>
    <w:rPr>
      <w:szCs w:val="20"/>
    </w:rPr>
  </w:style>
  <w:style w:type="paragraph" w:styleId="Zkladntext2">
    <w:name w:val="Body Text 2"/>
    <w:basedOn w:val="Normln"/>
    <w:link w:val="Zkladntext2Char"/>
    <w:rsid w:val="00B359A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B359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359A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359AC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rsid w:val="00B359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59AC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726941"/>
    <w:rPr>
      <w:rFonts w:ascii="Arial" w:eastAsia="Times New Roman" w:hAnsi="Arial"/>
      <w:b/>
      <w:bCs/>
      <w:sz w:val="26"/>
      <w:szCs w:val="28"/>
    </w:rPr>
  </w:style>
  <w:style w:type="character" w:customStyle="1" w:styleId="Nadpis2Char">
    <w:name w:val="Nadpis 2 Char"/>
    <w:link w:val="Nadpis2"/>
    <w:uiPriority w:val="9"/>
    <w:rsid w:val="004C2ADF"/>
    <w:rPr>
      <w:rFonts w:ascii="Arial" w:eastAsia="Times New Roman" w:hAnsi="Arial"/>
      <w:b/>
      <w:bCs/>
      <w:color w:val="000000"/>
      <w:sz w:val="24"/>
      <w:szCs w:val="26"/>
    </w:rPr>
  </w:style>
  <w:style w:type="character" w:customStyle="1" w:styleId="Nadpis5Char">
    <w:name w:val="Nadpis 5 Char"/>
    <w:link w:val="Nadpis5"/>
    <w:uiPriority w:val="9"/>
    <w:semiHidden/>
    <w:rsid w:val="00B359AC"/>
    <w:rPr>
      <w:rFonts w:ascii="Cambria" w:eastAsia="Times New Roman" w:hAnsi="Cambria"/>
      <w:color w:val="243F60"/>
      <w:szCs w:val="24"/>
    </w:rPr>
  </w:style>
  <w:style w:type="character" w:customStyle="1" w:styleId="Nadpis6Char">
    <w:name w:val="Nadpis 6 Char"/>
    <w:link w:val="Nadpis6"/>
    <w:uiPriority w:val="9"/>
    <w:semiHidden/>
    <w:rsid w:val="00B359AC"/>
    <w:rPr>
      <w:rFonts w:ascii="Cambria" w:eastAsia="Times New Roman" w:hAnsi="Cambria"/>
      <w:i/>
      <w:iCs/>
      <w:color w:val="243F60"/>
      <w:szCs w:val="24"/>
    </w:rPr>
  </w:style>
  <w:style w:type="character" w:customStyle="1" w:styleId="Nadpis7Char">
    <w:name w:val="Nadpis 7 Char"/>
    <w:link w:val="Nadpis7"/>
    <w:uiPriority w:val="9"/>
    <w:semiHidden/>
    <w:rsid w:val="00B359AC"/>
    <w:rPr>
      <w:rFonts w:ascii="Cambria" w:eastAsia="Times New Roman" w:hAnsi="Cambria"/>
      <w:i/>
      <w:iCs/>
      <w:color w:val="404040"/>
      <w:szCs w:val="24"/>
    </w:rPr>
  </w:style>
  <w:style w:type="character" w:customStyle="1" w:styleId="Nadpis8Char">
    <w:name w:val="Nadpis 8 Char"/>
    <w:link w:val="Nadpis8"/>
    <w:uiPriority w:val="9"/>
    <w:semiHidden/>
    <w:rsid w:val="00B359AC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semiHidden/>
    <w:rsid w:val="00B359AC"/>
    <w:rPr>
      <w:rFonts w:ascii="Cambria" w:eastAsia="Times New Roman" w:hAnsi="Cambria"/>
      <w:i/>
      <w:iCs/>
      <w:color w:val="404040"/>
    </w:rPr>
  </w:style>
  <w:style w:type="paragraph" w:styleId="Nadpisobsahu">
    <w:name w:val="TOC Heading"/>
    <w:basedOn w:val="Nadpis1"/>
    <w:next w:val="Normln"/>
    <w:uiPriority w:val="39"/>
    <w:unhideWhenUsed/>
    <w:qFormat/>
    <w:rsid w:val="005005AC"/>
    <w:pPr>
      <w:numPr>
        <w:numId w:val="0"/>
      </w:numPr>
      <w:outlineLvl w:val="9"/>
    </w:pPr>
    <w:rPr>
      <w:rFonts w:ascii="Cambria" w:hAnsi="Cambria"/>
      <w:color w:val="365F91"/>
    </w:rPr>
  </w:style>
  <w:style w:type="paragraph" w:styleId="Obsah1">
    <w:name w:val="toc 1"/>
    <w:basedOn w:val="Normln"/>
    <w:next w:val="Normln"/>
    <w:autoRedefine/>
    <w:uiPriority w:val="39"/>
    <w:unhideWhenUsed/>
    <w:rsid w:val="004C2ADF"/>
    <w:pPr>
      <w:tabs>
        <w:tab w:val="left" w:pos="440"/>
        <w:tab w:val="right" w:leader="dot" w:pos="9572"/>
      </w:tabs>
    </w:pPr>
  </w:style>
  <w:style w:type="character" w:styleId="Hypertextovodkaz">
    <w:name w:val="Hyperlink"/>
    <w:uiPriority w:val="99"/>
    <w:unhideWhenUsed/>
    <w:rsid w:val="005005A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7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37B9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718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718AB"/>
    <w:rPr>
      <w:rFonts w:ascii="Arial" w:eastAsia="Times New Roman" w:hAnsi="Arial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4C2ADF"/>
    <w:pPr>
      <w:ind w:left="200"/>
    </w:pPr>
  </w:style>
  <w:style w:type="paragraph" w:styleId="Bezmezer">
    <w:name w:val="No Spacing"/>
    <w:uiPriority w:val="1"/>
    <w:qFormat/>
    <w:rsid w:val="00BF36BE"/>
    <w:rPr>
      <w:rFonts w:ascii="Arial" w:eastAsia="Times New Roman" w:hAnsi="Arial"/>
      <w:szCs w:val="24"/>
    </w:rPr>
  </w:style>
  <w:style w:type="paragraph" w:styleId="Textkomente">
    <w:name w:val="annotation text"/>
    <w:basedOn w:val="Normln"/>
    <w:link w:val="TextkomenteChar"/>
    <w:semiHidden/>
    <w:unhideWhenUsed/>
    <w:rsid w:val="00EF1823"/>
    <w:pPr>
      <w:spacing w:line="240" w:lineRule="auto"/>
      <w:jc w:val="left"/>
    </w:pPr>
    <w:rPr>
      <w:szCs w:val="20"/>
    </w:rPr>
  </w:style>
  <w:style w:type="character" w:customStyle="1" w:styleId="TextkomenteChar">
    <w:name w:val="Text komentáře Char"/>
    <w:link w:val="Textkomente"/>
    <w:semiHidden/>
    <w:rsid w:val="00EF1823"/>
    <w:rPr>
      <w:rFonts w:ascii="Arial" w:eastAsia="Times New Roman" w:hAnsi="Arial"/>
    </w:rPr>
  </w:style>
  <w:style w:type="character" w:styleId="Odkaznakoment">
    <w:name w:val="annotation reference"/>
    <w:semiHidden/>
    <w:unhideWhenUsed/>
    <w:rsid w:val="00EF182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105"/>
    <w:pPr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3105"/>
    <w:rPr>
      <w:rFonts w:ascii="Arial" w:eastAsia="Times New Roman" w:hAnsi="Arial"/>
      <w:b/>
      <w:bCs/>
    </w:rPr>
  </w:style>
  <w:style w:type="paragraph" w:styleId="Revize">
    <w:name w:val="Revision"/>
    <w:hidden/>
    <w:uiPriority w:val="99"/>
    <w:semiHidden/>
    <w:rsid w:val="00973105"/>
    <w:rPr>
      <w:rFonts w:ascii="Arial" w:eastAsia="Times New Roman" w:hAnsi="Arial"/>
      <w:szCs w:val="24"/>
    </w:rPr>
  </w:style>
  <w:style w:type="character" w:customStyle="1" w:styleId="paragraphChar">
    <w:name w:val="paragraph Char"/>
    <w:basedOn w:val="Standardnpsmoodstavce"/>
    <w:link w:val="paragraph"/>
    <w:locked/>
    <w:rsid w:val="0094176A"/>
    <w:rPr>
      <w:rFonts w:ascii="Arial" w:hAnsi="Arial" w:cs="Arial"/>
      <w:lang w:eastAsia="ar-SA"/>
    </w:rPr>
  </w:style>
  <w:style w:type="paragraph" w:customStyle="1" w:styleId="paragraph">
    <w:name w:val="paragraph"/>
    <w:basedOn w:val="Normln"/>
    <w:link w:val="paragraphChar"/>
    <w:rsid w:val="0094176A"/>
    <w:pPr>
      <w:spacing w:before="240" w:after="240"/>
      <w:ind w:left="574"/>
    </w:pPr>
    <w:rPr>
      <w:rFonts w:eastAsia="Calibri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azky.mudk.cz/manual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azky.mudk.cz/manual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azky.mudk.cz/profile_display_2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zakazky.mudk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azky.mudk.cz/manual.html" TargetMode="External"/><Relationship Id="rId14" Type="http://schemas.openxmlformats.org/officeDocument/2006/relationships/hyperlink" Target="https://zakazky.mudk.cz/manual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D212-E314-4F76-8595-69F4E160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3833</Words>
  <Characters>22616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Dvůr Králové nad Labem</Company>
  <LinksUpToDate>false</LinksUpToDate>
  <CharactersWithSpaces>26397</CharactersWithSpaces>
  <SharedDoc>false</SharedDoc>
  <HLinks>
    <vt:vector size="162" baseType="variant">
      <vt:variant>
        <vt:i4>3407963</vt:i4>
      </vt:variant>
      <vt:variant>
        <vt:i4>156</vt:i4>
      </vt:variant>
      <vt:variant>
        <vt:i4>0</vt:i4>
      </vt:variant>
      <vt:variant>
        <vt:i4>5</vt:i4>
      </vt:variant>
      <vt:variant>
        <vt:lpwstr>mailto:eva.sirkova@mudk.cz</vt:lpwstr>
      </vt:variant>
      <vt:variant>
        <vt:lpwstr/>
      </vt:variant>
      <vt:variant>
        <vt:i4>393231</vt:i4>
      </vt:variant>
      <vt:variant>
        <vt:i4>153</vt:i4>
      </vt:variant>
      <vt:variant>
        <vt:i4>0</vt:i4>
      </vt:variant>
      <vt:variant>
        <vt:i4>5</vt:i4>
      </vt:variant>
      <vt:variant>
        <vt:lpwstr>https://zakazky.mudk.cz/</vt:lpwstr>
      </vt:variant>
      <vt:variant>
        <vt:lpwstr/>
      </vt:variant>
      <vt:variant>
        <vt:i4>1179698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_Toc524939078</vt:lpwstr>
      </vt:variant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_Toc524939077</vt:lpwstr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_Toc524939076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_Toc524939075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_Toc524939074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_Toc524939073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_Toc524939072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_Toc524939071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_Toc524939070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_Toc524939069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_Toc524939068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_Toc524939067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_Toc524939066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_Toc524939065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_Toc524939064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_Toc524939063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_Toc524939062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_Toc524939061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_Toc524939060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_Toc524939059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_Toc524939058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_Toc524939057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_Toc524939056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_Toc524939055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_Toc524939054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MUDK</dc:creator>
  <cp:lastModifiedBy>Šírková Eva</cp:lastModifiedBy>
  <cp:revision>4</cp:revision>
  <cp:lastPrinted>2018-09-04T06:57:00Z</cp:lastPrinted>
  <dcterms:created xsi:type="dcterms:W3CDTF">2018-10-02T11:08:00Z</dcterms:created>
  <dcterms:modified xsi:type="dcterms:W3CDTF">2018-10-03T14:01:00Z</dcterms:modified>
</cp:coreProperties>
</file>